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E0357A">
        <w:rPr>
          <w:i/>
          <w:sz w:val="18"/>
          <w:szCs w:val="18"/>
        </w:rPr>
        <w:t>FM</w:t>
      </w:r>
      <w:r w:rsidR="00F34FD0">
        <w:rPr>
          <w:i/>
          <w:sz w:val="18"/>
          <w:szCs w:val="18"/>
        </w:rPr>
        <w:t xml:space="preserve">: </w:t>
      </w:r>
      <w:r w:rsidR="00E0357A">
        <w:rPr>
          <w:i/>
          <w:sz w:val="18"/>
          <w:szCs w:val="18"/>
        </w:rPr>
        <w:t>Forces and motion</w:t>
      </w:r>
      <w:r w:rsidR="00F34FD0">
        <w:rPr>
          <w:i/>
          <w:sz w:val="18"/>
          <w:szCs w:val="18"/>
        </w:rPr>
        <w:t xml:space="preserve"> &gt; </w:t>
      </w:r>
      <w:r w:rsidR="001B2603">
        <w:rPr>
          <w:i/>
          <w:sz w:val="18"/>
          <w:szCs w:val="18"/>
        </w:rPr>
        <w:t xml:space="preserve">Topic </w:t>
      </w:r>
      <w:r>
        <w:rPr>
          <w:i/>
          <w:sz w:val="18"/>
          <w:szCs w:val="18"/>
        </w:rPr>
        <w:t>P</w:t>
      </w:r>
      <w:r w:rsidR="00E0357A">
        <w:rPr>
          <w:i/>
          <w:sz w:val="18"/>
          <w:szCs w:val="18"/>
        </w:rPr>
        <w:t>FM3</w:t>
      </w:r>
      <w:r w:rsidR="00F34FD0">
        <w:rPr>
          <w:i/>
          <w:sz w:val="18"/>
          <w:szCs w:val="18"/>
        </w:rPr>
        <w:t xml:space="preserve">: </w:t>
      </w:r>
      <w:r w:rsidR="00E0357A">
        <w:rPr>
          <w:i/>
          <w:sz w:val="18"/>
          <w:szCs w:val="18"/>
        </w:rPr>
        <w:t>More about force</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22442F" w:rsidP="00E0357A">
            <w:pPr>
              <w:spacing w:after="60"/>
              <w:ind w:left="1304"/>
              <w:rPr>
                <w:b/>
                <w:sz w:val="40"/>
                <w:szCs w:val="40"/>
              </w:rPr>
            </w:pPr>
            <w:r>
              <w:rPr>
                <w:b/>
                <w:sz w:val="40"/>
                <w:szCs w:val="40"/>
              </w:rPr>
              <w:t>P</w:t>
            </w:r>
            <w:r w:rsidR="00E0357A">
              <w:rPr>
                <w:b/>
                <w:sz w:val="40"/>
                <w:szCs w:val="40"/>
              </w:rPr>
              <w:t>FM3</w:t>
            </w:r>
            <w:r w:rsidR="00821188">
              <w:rPr>
                <w:b/>
                <w:sz w:val="40"/>
                <w:szCs w:val="40"/>
              </w:rPr>
              <w:t>.</w:t>
            </w:r>
            <w:r w:rsidR="00E0357A">
              <w:rPr>
                <w:b/>
                <w:sz w:val="40"/>
                <w:szCs w:val="40"/>
              </w:rPr>
              <w:t>2</w:t>
            </w:r>
            <w:r w:rsidR="00821188">
              <w:rPr>
                <w:b/>
                <w:sz w:val="40"/>
                <w:szCs w:val="40"/>
              </w:rPr>
              <w:t xml:space="preserve">: </w:t>
            </w:r>
            <w:r w:rsidR="00E0357A">
              <w:rPr>
                <w:b/>
                <w:sz w:val="40"/>
                <w:szCs w:val="40"/>
              </w:rPr>
              <w:t>Hidden forces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E0357A" w:rsidRPr="00464287" w:rsidRDefault="00E0357A" w:rsidP="00E0357A">
      <w:pPr>
        <w:spacing w:after="180"/>
        <w:rPr>
          <w:highlight w:val="yellow"/>
        </w:rPr>
      </w:pPr>
      <w:r w:rsidRPr="00DD4D20">
        <w:t>A big idea in</w:t>
      </w:r>
      <w:r>
        <w:t xml:space="preserve"> physics is f</w:t>
      </w:r>
      <w:r w:rsidRPr="0037047C">
        <w:t>orce</w:t>
      </w:r>
      <w:r>
        <w:t>,</w:t>
      </w:r>
      <w:r w:rsidRPr="0037047C">
        <w:t xml:space="preserve"> because it is the key to explaining changes in the motion</w:t>
      </w:r>
      <w:r>
        <w:t xml:space="preserve"> or the shape</w:t>
      </w:r>
      <w:r w:rsidRPr="0037047C">
        <w:t xml:space="preserve"> of an object</w:t>
      </w:r>
      <w:r>
        <w:t xml:space="preserve">. The motion of an object </w:t>
      </w:r>
      <w:r w:rsidRPr="0037047C">
        <w:t>can be explained or predicted if you know the sizes and directions of all the forces that act on it.</w:t>
      </w:r>
      <w:r>
        <w:t xml:space="preserve"> Understanding forces helps us to predict and control the physical world around us.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w:t>
      </w:r>
      <w:r w:rsidR="00FE427C">
        <w:t xml:space="preserve">helps to </w:t>
      </w:r>
      <w:r w:rsidR="00B049AC">
        <w:t xml:space="preserve">develop the big idea by using bridging analogies to </w:t>
      </w:r>
      <w:r w:rsidR="009E0648">
        <w:t>build an understanding of the ‘at rest’ condition in physics.</w:t>
      </w:r>
      <w:r w:rsidR="00854C8B">
        <w:t xml:space="preserve"> </w:t>
      </w:r>
    </w:p>
    <w:p w:rsidR="006A01DE" w:rsidRDefault="006A01DE" w:rsidP="006A01DE">
      <w:pPr>
        <w:spacing w:after="180"/>
      </w:pPr>
      <w:r>
        <w:t xml:space="preserve">The conceptual progression starts by checking understanding of </w:t>
      </w:r>
      <w:r w:rsidR="00A70D25">
        <w:t>the force we need to exert on an object to hold it at rest</w:t>
      </w:r>
      <w:r>
        <w:t xml:space="preserve">. It </w:t>
      </w:r>
      <w:r w:rsidR="005B4275">
        <w:t xml:space="preserve">then </w:t>
      </w:r>
      <w:r w:rsidR="00AA66F3">
        <w:t>supports the development of</w:t>
      </w:r>
      <w:r>
        <w:t xml:space="preserve"> </w:t>
      </w:r>
      <w:r w:rsidR="00A70D25">
        <w:t>a more general application of this rule with examples of springs and objects that visibly squash or distort,</w:t>
      </w:r>
      <w:r>
        <w:t xml:space="preserve"> in order to enable understanding of </w:t>
      </w:r>
      <w:r w:rsidR="00A70D25">
        <w:t xml:space="preserve">how a surface can exert an upwards force on an object because at a microscopic level it is springy. </w:t>
      </w:r>
    </w:p>
    <w:p w:rsidR="00761D32" w:rsidRPr="00B6703E" w:rsidRDefault="00FE427C" w:rsidP="00761D32">
      <w:pPr>
        <w:spacing w:after="200" w:line="276" w:lineRule="auto"/>
        <w:rPr>
          <w:b/>
          <w:color w:val="5F497A" w:themeColor="accent4" w:themeShade="BF"/>
          <w:sz w:val="24"/>
          <w:szCs w:val="24"/>
        </w:rPr>
      </w:pPr>
      <w:r w:rsidRPr="00B6703E">
        <w:rPr>
          <w:rFonts w:cstheme="minorHAnsi"/>
          <w:b/>
          <w:noProof/>
          <w:color w:val="FFFFFF" w:themeColor="background1"/>
          <w:sz w:val="24"/>
          <w:szCs w:val="24"/>
          <w:lang w:eastAsia="en-GB"/>
        </w:rPr>
        <w:drawing>
          <wp:anchor distT="0" distB="0" distL="114300" distR="114300" simplePos="0" relativeHeight="251716608" behindDoc="1" locked="0" layoutInCell="1" allowOverlap="1">
            <wp:simplePos x="0" y="0"/>
            <wp:positionH relativeFrom="column">
              <wp:posOffset>4457700</wp:posOffset>
            </wp:positionH>
            <wp:positionV relativeFrom="paragraph">
              <wp:posOffset>29210</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B6703E"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p>
    <w:p w:rsidR="006F3279" w:rsidRPr="006F3279" w:rsidRDefault="006F3279" w:rsidP="00E172C6">
      <w:pPr>
        <w:spacing w:after="180"/>
        <w:rPr>
          <w:b/>
        </w:rPr>
      </w:pP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E0357A">
        <w:rPr>
          <w:b/>
          <w:color w:val="5F497A" w:themeColor="accent4" w:themeShade="BF"/>
          <w:sz w:val="24"/>
        </w:rPr>
        <w:t>Hidden forces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99744A" w:rsidRDefault="0099744A" w:rsidP="0099744A">
            <w:pPr>
              <w:spacing w:after="180"/>
            </w:pPr>
            <w:r>
              <w:t>An object resting on the floor squashes it a little and, because at a microscopic level the floor is springy, it pushes back on the object with an equal sized force in the opposite direction to the object’s weight.</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854C8B">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708416;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 xml:space="preserve">C o n c e p t u a </w:t>
                              </w:r>
                              <w:proofErr w:type="gramStart"/>
                              <w:r w:rsidRPr="00E753A9">
                                <w:rPr>
                                  <w:b/>
                                  <w:caps/>
                                  <w:color w:val="FFFFFF" w:themeColor="background1"/>
                                  <w:sz w:val="12"/>
                                  <w:szCs w:val="12"/>
                                </w:rPr>
                                <w:t>l</w:t>
                              </w:r>
                              <w:r w:rsidR="00854C8B">
                                <w:rPr>
                                  <w:b/>
                                  <w:caps/>
                                  <w:color w:val="FFFFFF" w:themeColor="background1"/>
                                  <w:sz w:val="12"/>
                                  <w:szCs w:val="12"/>
                                </w:rPr>
                                <w:t xml:space="preserve"> </w:t>
                              </w:r>
                              <w:r w:rsidRPr="00E753A9">
                                <w:rPr>
                                  <w:b/>
                                  <w:caps/>
                                  <w:color w:val="FFFFFF" w:themeColor="background1"/>
                                  <w:sz w:val="12"/>
                                  <w:szCs w:val="12"/>
                                </w:rPr>
                                <w:t xml:space="preserve"> p</w:t>
                              </w:r>
                              <w:proofErr w:type="gramEnd"/>
                              <w:r w:rsidRPr="00E753A9">
                                <w:rPr>
                                  <w:b/>
                                  <w:caps/>
                                  <w:color w:val="FFFFFF" w:themeColor="background1"/>
                                  <w:sz w:val="12"/>
                                  <w:szCs w:val="12"/>
                                </w:rPr>
                                <w:t xml:space="preserve">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Pr="00E675A8" w:rsidRDefault="00E72AB3" w:rsidP="006D2D7D">
            <w:pPr>
              <w:spacing w:after="120"/>
              <w:rPr>
                <w:rFonts w:cstheme="minorHAnsi"/>
                <w:sz w:val="20"/>
                <w:szCs w:val="20"/>
              </w:rPr>
            </w:pPr>
            <w:r>
              <w:rPr>
                <w:rFonts w:cstheme="minorHAnsi"/>
                <w:sz w:val="20"/>
                <w:szCs w:val="20"/>
              </w:rPr>
              <w:t xml:space="preserve">Describe how a </w:t>
            </w:r>
            <w:r w:rsidR="00C004D3">
              <w:rPr>
                <w:rFonts w:cstheme="minorHAnsi"/>
                <w:sz w:val="20"/>
                <w:szCs w:val="20"/>
              </w:rPr>
              <w:t xml:space="preserve">person’s </w:t>
            </w:r>
            <w:r>
              <w:rPr>
                <w:rFonts w:cstheme="minorHAnsi"/>
                <w:sz w:val="20"/>
                <w:szCs w:val="20"/>
              </w:rPr>
              <w:t>hand uses force to support different sized weights.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7C7EE8" w:rsidP="009B5270">
            <w:pPr>
              <w:spacing w:after="120"/>
              <w:rPr>
                <w:rFonts w:cstheme="minorHAnsi"/>
                <w:sz w:val="20"/>
                <w:szCs w:val="20"/>
              </w:rPr>
            </w:pPr>
            <w:r>
              <w:rPr>
                <w:rFonts w:cstheme="minorHAnsi"/>
                <w:sz w:val="20"/>
                <w:szCs w:val="20"/>
              </w:rPr>
              <w:t xml:space="preserve">Describe how the size of force exerted by a spring changes as it is squashed.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7C7EE8" w:rsidP="007C7EE8">
            <w:pPr>
              <w:spacing w:after="120"/>
              <w:rPr>
                <w:rFonts w:cstheme="minorHAnsi"/>
                <w:sz w:val="20"/>
                <w:szCs w:val="20"/>
              </w:rPr>
            </w:pPr>
            <w:r>
              <w:rPr>
                <w:rFonts w:cstheme="minorHAnsi"/>
                <w:sz w:val="20"/>
                <w:szCs w:val="20"/>
              </w:rPr>
              <w:t>Explain how a ruler, made into a bridge, changes to support weights of different sizes.</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E675A8" w:rsidRDefault="007C7EE8" w:rsidP="00C004D3">
            <w:pPr>
              <w:spacing w:after="120"/>
              <w:rPr>
                <w:rFonts w:cstheme="minorHAnsi"/>
                <w:sz w:val="20"/>
                <w:szCs w:val="20"/>
              </w:rPr>
            </w:pPr>
            <w:r>
              <w:rPr>
                <w:rFonts w:cstheme="minorHAnsi"/>
                <w:sz w:val="20"/>
                <w:szCs w:val="20"/>
              </w:rPr>
              <w:t xml:space="preserve">Explain how objects of different weights </w:t>
            </w:r>
            <w:r w:rsidR="00C004D3">
              <w:rPr>
                <w:rFonts w:cstheme="minorHAnsi"/>
                <w:sz w:val="20"/>
                <w:szCs w:val="20"/>
              </w:rPr>
              <w:t>can</w:t>
            </w:r>
            <w:r>
              <w:rPr>
                <w:rFonts w:cstheme="minorHAnsi"/>
                <w:sz w:val="20"/>
                <w:szCs w:val="20"/>
              </w:rPr>
              <w:t xml:space="preserve"> </w:t>
            </w:r>
            <w:r w:rsidR="00A75417">
              <w:rPr>
                <w:rFonts w:cstheme="minorHAnsi"/>
                <w:sz w:val="20"/>
                <w:szCs w:val="20"/>
              </w:rPr>
              <w:t xml:space="preserve">all </w:t>
            </w:r>
            <w:r w:rsidR="00C004D3">
              <w:rPr>
                <w:rFonts w:cstheme="minorHAnsi"/>
                <w:sz w:val="20"/>
                <w:szCs w:val="20"/>
              </w:rPr>
              <w:t xml:space="preserve">be </w:t>
            </w:r>
            <w:r w:rsidR="00A75417">
              <w:rPr>
                <w:rFonts w:cstheme="minorHAnsi"/>
                <w:sz w:val="20"/>
                <w:szCs w:val="20"/>
              </w:rPr>
              <w:t xml:space="preserve">supported </w:t>
            </w:r>
            <w:r>
              <w:rPr>
                <w:rFonts w:cstheme="minorHAnsi"/>
                <w:sz w:val="20"/>
                <w:szCs w:val="20"/>
              </w:rPr>
              <w:t>by the same floor</w:t>
            </w:r>
            <w:r w:rsidR="00C004D3">
              <w:rPr>
                <w:rFonts w:cstheme="minorHAnsi"/>
                <w:sz w:val="20"/>
                <w:szCs w:val="20"/>
              </w:rPr>
              <w:t>.</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0A4D1F" w:rsidRDefault="007C7EE8" w:rsidP="006D2D7D">
            <w:pPr>
              <w:spacing w:after="120"/>
              <w:rPr>
                <w:rFonts w:cstheme="minorHAnsi"/>
                <w:sz w:val="20"/>
                <w:szCs w:val="20"/>
              </w:rPr>
            </w:pPr>
            <w:r>
              <w:rPr>
                <w:rFonts w:cstheme="minorHAnsi"/>
                <w:sz w:val="20"/>
                <w:szCs w:val="20"/>
              </w:rPr>
              <w:t xml:space="preserve">Explain how a string can support objects of different weights and hold </w:t>
            </w:r>
            <w:r w:rsidR="00C004D3">
              <w:rPr>
                <w:rFonts w:cstheme="minorHAnsi"/>
                <w:sz w:val="20"/>
                <w:szCs w:val="20"/>
              </w:rPr>
              <w:t>each one</w:t>
            </w:r>
            <w:r>
              <w:rPr>
                <w:rFonts w:cstheme="minorHAnsi"/>
                <w:sz w:val="20"/>
                <w:szCs w:val="20"/>
              </w:rPr>
              <w:t xml:space="preserve"> at rest.</w:t>
            </w:r>
          </w:p>
        </w:tc>
      </w:tr>
      <w:tr w:rsidR="00761D32" w:rsidRPr="00E675A8" w:rsidTr="005257ED">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4"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761D32" w:rsidRPr="00E675A8" w:rsidTr="005257ED">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4"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E675A8" w:rsidRDefault="000B7C10" w:rsidP="009B5270">
            <w:pPr>
              <w:jc w:val="center"/>
              <w:rPr>
                <w:rFonts w:cstheme="minorHAnsi"/>
                <w:sz w:val="20"/>
                <w:szCs w:val="20"/>
              </w:rPr>
            </w:pPr>
            <w:r w:rsidRPr="00017B2B">
              <w:rPr>
                <w:rFonts w:cstheme="minorHAnsi"/>
                <w:color w:val="000000" w:themeColor="text1"/>
                <w:sz w:val="20"/>
                <w:szCs w:val="20"/>
              </w:rPr>
              <w:t>A big</w:t>
            </w:r>
            <w:r w:rsidR="00E72AB3" w:rsidRPr="00017B2B">
              <w:rPr>
                <w:rFonts w:cstheme="minorHAnsi"/>
                <w:color w:val="000000" w:themeColor="text1"/>
                <w:sz w:val="20"/>
                <w:szCs w:val="20"/>
              </w:rPr>
              <w:t xml:space="preserve"> weight</w:t>
            </w: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304B93" w:rsidRPr="0041100F" w:rsidRDefault="004E70B5" w:rsidP="009B5270">
            <w:pPr>
              <w:jc w:val="center"/>
              <w:rPr>
                <w:rFonts w:cstheme="minorHAnsi"/>
                <w:color w:val="FF0000"/>
                <w:sz w:val="20"/>
                <w:szCs w:val="20"/>
              </w:rPr>
            </w:pPr>
            <w:r w:rsidRPr="00B71A36">
              <w:rPr>
                <w:rFonts w:cstheme="minorHAnsi"/>
                <w:sz w:val="20"/>
                <w:szCs w:val="20"/>
              </w:rPr>
              <w:t>Squashing a spring</w:t>
            </w: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41100F" w:rsidRDefault="00661DA1" w:rsidP="009B5270">
            <w:pPr>
              <w:jc w:val="center"/>
              <w:rPr>
                <w:rFonts w:cstheme="minorHAnsi"/>
                <w:color w:val="FF0000"/>
                <w:sz w:val="20"/>
                <w:szCs w:val="20"/>
              </w:rPr>
            </w:pPr>
            <w:r w:rsidRPr="00F64424">
              <w:rPr>
                <w:rFonts w:cstheme="minorHAnsi"/>
                <w:sz w:val="20"/>
                <w:szCs w:val="20"/>
              </w:rPr>
              <w:t>Ruler bridge</w:t>
            </w: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343464" w:rsidRPr="005605FD" w:rsidRDefault="005605FD" w:rsidP="00C53F0B">
            <w:pPr>
              <w:jc w:val="center"/>
              <w:rPr>
                <w:rFonts w:cstheme="minorHAnsi"/>
                <w:color w:val="FF0000"/>
                <w:sz w:val="20"/>
                <w:szCs w:val="20"/>
              </w:rPr>
            </w:pPr>
            <w:r w:rsidRPr="00C53F0B">
              <w:rPr>
                <w:rFonts w:cstheme="minorHAnsi"/>
                <w:sz w:val="20"/>
                <w:szCs w:val="20"/>
              </w:rPr>
              <w:t>Heavy crate</w:t>
            </w: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41100F" w:rsidRDefault="00115BE3" w:rsidP="009B5270">
            <w:pPr>
              <w:jc w:val="center"/>
              <w:rPr>
                <w:rFonts w:cstheme="minorHAnsi"/>
                <w:color w:val="FF0000"/>
                <w:sz w:val="20"/>
                <w:szCs w:val="20"/>
              </w:rPr>
            </w:pPr>
            <w:r w:rsidRPr="00115BE3">
              <w:rPr>
                <w:rFonts w:cstheme="minorHAnsi"/>
                <w:sz w:val="20"/>
                <w:szCs w:val="20"/>
              </w:rPr>
              <w:t>Ball on a rope</w:t>
            </w:r>
          </w:p>
        </w:tc>
      </w:tr>
      <w:tr w:rsidR="00761D32" w:rsidRPr="00E675A8" w:rsidTr="005257ED">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41100F" w:rsidRDefault="00761D32" w:rsidP="009B5270">
            <w:pPr>
              <w:jc w:val="center"/>
              <w:rPr>
                <w:rFonts w:cstheme="minorHAnsi"/>
                <w:color w:val="FF0000"/>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41100F" w:rsidRDefault="00761D32" w:rsidP="009B5270">
            <w:pPr>
              <w:jc w:val="center"/>
              <w:rPr>
                <w:rFonts w:cstheme="minorHAnsi"/>
                <w:color w:val="FF0000"/>
                <w:sz w:val="20"/>
                <w:szCs w:val="20"/>
              </w:rPr>
            </w:pPr>
          </w:p>
        </w:tc>
        <w:tc>
          <w:tcPr>
            <w:tcW w:w="2439" w:type="dxa"/>
            <w:tcBorders>
              <w:top w:val="single" w:sz="8"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5605FD" w:rsidRDefault="005605FD" w:rsidP="003A4130">
            <w:pPr>
              <w:jc w:val="center"/>
              <w:rPr>
                <w:rFonts w:cstheme="minorHAnsi"/>
                <w:color w:val="FF0000"/>
                <w:sz w:val="20"/>
                <w:szCs w:val="20"/>
              </w:rPr>
            </w:pPr>
            <w:r w:rsidRPr="003A4130">
              <w:rPr>
                <w:rFonts w:cstheme="minorHAnsi"/>
                <w:sz w:val="20"/>
                <w:szCs w:val="20"/>
              </w:rPr>
              <w:t>Light crate, heavy crate</w:t>
            </w:r>
          </w:p>
        </w:tc>
        <w:tc>
          <w:tcPr>
            <w:tcW w:w="2439" w:type="dxa"/>
            <w:tcBorders>
              <w:top w:val="single" w:sz="8"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41100F" w:rsidRDefault="00761D32" w:rsidP="009B5270">
            <w:pPr>
              <w:jc w:val="center"/>
              <w:rPr>
                <w:rFonts w:cstheme="minorHAnsi"/>
                <w:color w:val="FF0000"/>
                <w:sz w:val="20"/>
                <w:szCs w:val="20"/>
              </w:rPr>
            </w:pPr>
          </w:p>
        </w:tc>
      </w:tr>
      <w:tr w:rsidR="00761D32" w:rsidRPr="00E675A8" w:rsidTr="005257ED">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41100F"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41100F"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4" w:space="0" w:color="5F497A" w:themeColor="accent4" w:themeShade="BF"/>
              <w:right w:val="nil"/>
            </w:tcBorders>
            <w:shd w:val="clear" w:color="auto" w:fill="auto"/>
            <w:tcMar>
              <w:top w:w="0" w:type="dxa"/>
              <w:left w:w="0" w:type="dxa"/>
              <w:bottom w:w="0" w:type="dxa"/>
              <w:right w:w="0" w:type="dxa"/>
            </w:tcMar>
            <w:vAlign w:val="center"/>
          </w:tcPr>
          <w:p w:rsidR="00761D32" w:rsidRPr="0041100F" w:rsidRDefault="00761D32" w:rsidP="009B5270">
            <w:pPr>
              <w:jc w:val="center"/>
              <w:rPr>
                <w:rFonts w:cstheme="minorHAnsi"/>
                <w:color w:val="FF0000"/>
                <w:sz w:val="20"/>
                <w:szCs w:val="20"/>
              </w:rPr>
            </w:pPr>
          </w:p>
        </w:tc>
        <w:tc>
          <w:tcPr>
            <w:tcW w:w="2439" w:type="dxa"/>
            <w:tcBorders>
              <w:top w:val="single" w:sz="8" w:space="0" w:color="5F497A" w:themeColor="accent4" w:themeShade="BF"/>
              <w:left w:val="nil"/>
              <w:bottom w:val="single" w:sz="4"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41100F" w:rsidRDefault="00761D32" w:rsidP="009B5270">
            <w:pPr>
              <w:jc w:val="center"/>
              <w:rPr>
                <w:rFonts w:cstheme="minorHAnsi"/>
                <w:color w:val="FF0000"/>
                <w:sz w:val="20"/>
                <w:szCs w:val="20"/>
              </w:rPr>
            </w:pPr>
          </w:p>
        </w:tc>
      </w:tr>
      <w:tr w:rsidR="00761D32" w:rsidRPr="00E675A8" w:rsidTr="005257ED">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4" w:space="0" w:color="5F497A" w:themeColor="accent4" w:themeShade="BF"/>
            </w:tcBorders>
            <w:shd w:val="clear" w:color="auto" w:fill="5F497A" w:themeFill="accent4" w:themeFillShade="BF"/>
          </w:tcPr>
          <w:p w:rsidR="00761D32"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761D32" w:rsidRPr="003C7537" w:rsidRDefault="004E2255" w:rsidP="009B5270">
            <w:pPr>
              <w:rPr>
                <w:rFonts w:cstheme="minorHAnsi"/>
                <w:b/>
                <w:color w:val="FFFFFF" w:themeColor="background1"/>
                <w:sz w:val="20"/>
                <w:szCs w:val="20"/>
              </w:rPr>
            </w:pPr>
            <w:r>
              <w:rPr>
                <w:rFonts w:cstheme="minorHAnsi"/>
                <w:b/>
                <w:color w:val="FFFFFF" w:themeColor="background1"/>
                <w:sz w:val="20"/>
                <w:szCs w:val="20"/>
              </w:rPr>
              <w:t>a</w:t>
            </w:r>
            <w:r w:rsidR="00761D32">
              <w:rPr>
                <w:rFonts w:cstheme="minorHAnsi"/>
                <w:b/>
                <w:color w:val="FFFFFF" w:themeColor="background1"/>
                <w:sz w:val="20"/>
                <w:szCs w:val="20"/>
              </w:rPr>
              <w:t>ctivities</w:t>
            </w:r>
          </w:p>
        </w:tc>
        <w:tc>
          <w:tcPr>
            <w:tcW w:w="2439" w:type="dxa"/>
            <w:tcBorders>
              <w:top w:val="single" w:sz="4" w:space="0" w:color="5F497A" w:themeColor="accent4" w:themeShade="BF"/>
              <w:left w:val="single" w:sz="4" w:space="0" w:color="5F497A" w:themeColor="accent4" w:themeShade="BF"/>
              <w:bottom w:val="nil"/>
              <w:right w:val="single" w:sz="4" w:space="0" w:color="5F497A" w:themeColor="accent4" w:themeShade="BF"/>
            </w:tcBorders>
            <w:shd w:val="clear" w:color="auto" w:fill="auto"/>
            <w:vAlign w:val="center"/>
          </w:tcPr>
          <w:p w:rsidR="00761D32" w:rsidRPr="000B7C10" w:rsidRDefault="000B7C10" w:rsidP="00E002ED">
            <w:pPr>
              <w:jc w:val="center"/>
              <w:rPr>
                <w:rFonts w:cstheme="minorHAnsi"/>
                <w:color w:val="984806" w:themeColor="accent6" w:themeShade="80"/>
                <w:sz w:val="20"/>
                <w:szCs w:val="20"/>
              </w:rPr>
            </w:pPr>
            <w:r w:rsidRPr="00E002ED">
              <w:rPr>
                <w:rFonts w:cstheme="minorHAnsi"/>
                <w:color w:val="000000" w:themeColor="text1"/>
                <w:sz w:val="20"/>
                <w:szCs w:val="20"/>
              </w:rPr>
              <w:t xml:space="preserve">Adding </w:t>
            </w:r>
            <w:r w:rsidR="00E002ED" w:rsidRPr="00E002ED">
              <w:rPr>
                <w:rFonts w:cstheme="minorHAnsi"/>
                <w:color w:val="000000" w:themeColor="text1"/>
                <w:sz w:val="20"/>
                <w:szCs w:val="20"/>
              </w:rPr>
              <w:t xml:space="preserve">more </w:t>
            </w:r>
            <w:r w:rsidRPr="00E002ED">
              <w:rPr>
                <w:rFonts w:cstheme="minorHAnsi"/>
                <w:color w:val="000000" w:themeColor="text1"/>
                <w:sz w:val="20"/>
                <w:szCs w:val="20"/>
              </w:rPr>
              <w:t>weight</w:t>
            </w:r>
          </w:p>
        </w:tc>
        <w:tc>
          <w:tcPr>
            <w:tcW w:w="2439" w:type="dxa"/>
            <w:tcBorders>
              <w:top w:val="single" w:sz="8" w:space="0" w:color="5F497A" w:themeColor="accent4" w:themeShade="BF"/>
              <w:left w:val="single" w:sz="4" w:space="0" w:color="5F497A" w:themeColor="accent4" w:themeShade="BF"/>
              <w:bottom w:val="nil"/>
              <w:right w:val="single" w:sz="4" w:space="0" w:color="5F497A" w:themeColor="accent4" w:themeShade="BF"/>
            </w:tcBorders>
            <w:shd w:val="clear" w:color="auto" w:fill="auto"/>
            <w:vAlign w:val="center"/>
          </w:tcPr>
          <w:p w:rsidR="00761D32" w:rsidRPr="0041100F" w:rsidRDefault="00761D32" w:rsidP="009B5270">
            <w:pPr>
              <w:jc w:val="center"/>
              <w:rPr>
                <w:rFonts w:cstheme="minorHAnsi"/>
                <w:color w:val="FF0000"/>
                <w:sz w:val="20"/>
                <w:szCs w:val="20"/>
              </w:rPr>
            </w:pP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41100F" w:rsidRDefault="005605FD" w:rsidP="009B5270">
            <w:pPr>
              <w:jc w:val="center"/>
              <w:rPr>
                <w:rFonts w:cstheme="minorHAnsi"/>
                <w:color w:val="FF0000"/>
                <w:sz w:val="20"/>
                <w:szCs w:val="20"/>
              </w:rPr>
            </w:pPr>
            <w:r w:rsidRPr="005605FD">
              <w:rPr>
                <w:rFonts w:cstheme="minorHAnsi"/>
                <w:color w:val="000000" w:themeColor="text1"/>
                <w:sz w:val="20"/>
                <w:szCs w:val="20"/>
              </w:rPr>
              <w:t>John’s plank</w:t>
            </w: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41100F" w:rsidRPr="0041100F" w:rsidRDefault="0003297D" w:rsidP="009B5270">
            <w:pPr>
              <w:jc w:val="center"/>
              <w:rPr>
                <w:rFonts w:cstheme="minorHAnsi"/>
                <w:color w:val="FF0000"/>
                <w:sz w:val="20"/>
                <w:szCs w:val="20"/>
              </w:rPr>
            </w:pPr>
            <w:r w:rsidRPr="00422E11">
              <w:rPr>
                <w:rFonts w:cstheme="minorHAnsi"/>
                <w:sz w:val="20"/>
                <w:szCs w:val="20"/>
              </w:rPr>
              <w:t>Squashing a mattress</w:t>
            </w:r>
          </w:p>
        </w:tc>
        <w:tc>
          <w:tcPr>
            <w:tcW w:w="2439" w:type="dxa"/>
            <w:tcBorders>
              <w:top w:val="single" w:sz="4"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41100F" w:rsidRDefault="00957C3E" w:rsidP="00074F92">
            <w:pPr>
              <w:jc w:val="center"/>
              <w:rPr>
                <w:rFonts w:cstheme="minorHAnsi"/>
                <w:color w:val="FF0000"/>
                <w:sz w:val="20"/>
                <w:szCs w:val="20"/>
              </w:rPr>
            </w:pPr>
            <w:r w:rsidRPr="00855ABA">
              <w:rPr>
                <w:rFonts w:cstheme="minorHAnsi"/>
                <w:sz w:val="20"/>
                <w:szCs w:val="20"/>
              </w:rPr>
              <w:t xml:space="preserve">Hanging ball </w:t>
            </w:r>
          </w:p>
        </w:tc>
      </w:tr>
      <w:tr w:rsidR="00761D32" w:rsidRPr="00E675A8" w:rsidTr="005257ED">
        <w:trPr>
          <w:trHeight w:val="340"/>
        </w:trPr>
        <w:tc>
          <w:tcPr>
            <w:tcW w:w="1545" w:type="dxa"/>
            <w:vMerge/>
            <w:tcBorders>
              <w:top w:val="nil"/>
              <w:left w:val="single" w:sz="8" w:space="0" w:color="5F497A" w:themeColor="accent4" w:themeShade="BF"/>
              <w:bottom w:val="single" w:sz="8" w:space="0" w:color="5F497A" w:themeColor="accent4" w:themeShade="BF"/>
              <w:right w:val="single" w:sz="4" w:space="0" w:color="5F497A" w:themeColor="accent4" w:themeShade="BF"/>
            </w:tcBorders>
            <w:shd w:val="clear" w:color="auto" w:fill="5F497A" w:themeFill="accent4" w:themeFillShade="BF"/>
          </w:tcPr>
          <w:p w:rsidR="00761D32" w:rsidRPr="00E675A8" w:rsidRDefault="00761D32" w:rsidP="009B5270">
            <w:pPr>
              <w:rPr>
                <w:rFonts w:cstheme="minorHAnsi"/>
                <w:sz w:val="20"/>
                <w:szCs w:val="20"/>
              </w:rPr>
            </w:pPr>
          </w:p>
        </w:tc>
        <w:tc>
          <w:tcPr>
            <w:tcW w:w="2439" w:type="dxa"/>
            <w:tcBorders>
              <w:top w:val="nil"/>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0B7C10" w:rsidRDefault="000B7C10" w:rsidP="005C41DA">
            <w:pPr>
              <w:jc w:val="center"/>
              <w:rPr>
                <w:rFonts w:cstheme="minorHAnsi"/>
                <w:color w:val="984806" w:themeColor="accent6" w:themeShade="80"/>
                <w:sz w:val="20"/>
                <w:szCs w:val="20"/>
              </w:rPr>
            </w:pPr>
            <w:r w:rsidRPr="005C41DA">
              <w:rPr>
                <w:rFonts w:cstheme="minorHAnsi"/>
                <w:color w:val="000000" w:themeColor="text1"/>
                <w:sz w:val="20"/>
                <w:szCs w:val="20"/>
              </w:rPr>
              <w:t xml:space="preserve">Holding a </w:t>
            </w:r>
            <w:r w:rsidR="005C41DA" w:rsidRPr="005C41DA">
              <w:rPr>
                <w:rFonts w:cstheme="minorHAnsi"/>
                <w:color w:val="000000" w:themeColor="text1"/>
                <w:sz w:val="20"/>
                <w:szCs w:val="20"/>
              </w:rPr>
              <w:t>book</w:t>
            </w:r>
          </w:p>
        </w:tc>
        <w:tc>
          <w:tcPr>
            <w:tcW w:w="2439" w:type="dxa"/>
            <w:tcBorders>
              <w:top w:val="nil"/>
              <w:left w:val="single" w:sz="4"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761D32" w:rsidRPr="0041100F" w:rsidRDefault="00761D32" w:rsidP="009B5270">
            <w:pPr>
              <w:jc w:val="center"/>
              <w:rPr>
                <w:rFonts w:cstheme="minorHAnsi"/>
                <w:color w:val="FF0000"/>
                <w:sz w:val="20"/>
                <w:szCs w:val="20"/>
              </w:rPr>
            </w:pPr>
          </w:p>
        </w:tc>
        <w:tc>
          <w:tcPr>
            <w:tcW w:w="2439" w:type="dxa"/>
            <w:tcBorders>
              <w:top w:val="single" w:sz="8" w:space="0" w:color="5F497A" w:themeColor="accent4" w:themeShade="BF"/>
              <w:left w:val="dashed"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41100F" w:rsidRDefault="00761D32" w:rsidP="009B5270">
            <w:pPr>
              <w:jc w:val="center"/>
              <w:rPr>
                <w:rFonts w:cstheme="minorHAnsi"/>
                <w:color w:val="FF0000"/>
                <w:sz w:val="20"/>
                <w:szCs w:val="20"/>
              </w:rPr>
            </w:pPr>
          </w:p>
        </w:tc>
        <w:tc>
          <w:tcPr>
            <w:tcW w:w="2439" w:type="dxa"/>
            <w:tcBorders>
              <w:top w:val="single" w:sz="8" w:space="0" w:color="5F497A" w:themeColor="accent4" w:themeShade="BF"/>
              <w:left w:val="single" w:sz="4" w:space="0" w:color="5F497A" w:themeColor="accent4" w:themeShade="BF"/>
              <w:bottom w:val="single" w:sz="8" w:space="0" w:color="5F497A" w:themeColor="accent4" w:themeShade="BF"/>
              <w:right w:val="single" w:sz="4" w:space="0" w:color="5F497A" w:themeColor="accent4" w:themeShade="BF"/>
            </w:tcBorders>
            <w:shd w:val="clear" w:color="auto" w:fill="auto"/>
            <w:vAlign w:val="center"/>
          </w:tcPr>
          <w:p w:rsidR="00761D32" w:rsidRPr="0041100F" w:rsidRDefault="0050637D" w:rsidP="009B5270">
            <w:pPr>
              <w:jc w:val="center"/>
              <w:rPr>
                <w:rFonts w:cstheme="minorHAnsi"/>
                <w:color w:val="FF0000"/>
                <w:sz w:val="20"/>
                <w:szCs w:val="20"/>
              </w:rPr>
            </w:pPr>
            <w:r w:rsidRPr="0050637D">
              <w:rPr>
                <w:rFonts w:cstheme="minorHAnsi"/>
                <w:sz w:val="20"/>
                <w:szCs w:val="20"/>
              </w:rPr>
              <w:t>Box on a table</w:t>
            </w:r>
          </w:p>
        </w:tc>
        <w:tc>
          <w:tcPr>
            <w:tcW w:w="2439" w:type="dxa"/>
            <w:tcBorders>
              <w:top w:val="single" w:sz="8" w:space="0" w:color="5F497A" w:themeColor="accent4" w:themeShade="BF"/>
              <w:left w:val="single"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761D32" w:rsidRPr="0041100F" w:rsidRDefault="00761D32" w:rsidP="009B5270">
            <w:pPr>
              <w:jc w:val="center"/>
              <w:rPr>
                <w:rFonts w:cstheme="minorHAnsi"/>
                <w:color w:val="FF0000"/>
                <w:sz w:val="20"/>
                <w:szCs w:val="20"/>
              </w:rPr>
            </w:pPr>
          </w:p>
        </w:tc>
      </w:tr>
    </w:tbl>
    <w:p w:rsidR="00761D32" w:rsidRPr="00620AFF" w:rsidRDefault="00761D32" w:rsidP="00761D32">
      <w:pPr>
        <w:rPr>
          <w:sz w:val="20"/>
        </w:rPr>
      </w:pPr>
    </w:p>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C46861" w:rsidRPr="00C46861" w:rsidTr="005F454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C46861" w:rsidRPr="00C46861" w:rsidRDefault="00C46861" w:rsidP="00C46861">
            <w:pPr>
              <w:jc w:val="center"/>
              <w:rPr>
                <w:rFonts w:cstheme="minorHAnsi"/>
                <w:b/>
                <w:szCs w:val="20"/>
              </w:rPr>
            </w:pPr>
            <w:r w:rsidRPr="00C46861">
              <w:rPr>
                <w:rFonts w:cstheme="minorHAnsi"/>
                <w:b/>
                <w:color w:val="000000" w:themeColor="text1"/>
                <w:szCs w:val="20"/>
              </w:rPr>
              <w:lastRenderedPageBreak/>
              <w:t>A big weight</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C46861" w:rsidRPr="00C46861" w:rsidRDefault="00C46861" w:rsidP="00C46861">
            <w:pPr>
              <w:jc w:val="center"/>
              <w:rPr>
                <w:rFonts w:cstheme="minorHAnsi"/>
                <w:b/>
                <w:color w:val="FF0000"/>
                <w:szCs w:val="20"/>
              </w:rPr>
            </w:pPr>
            <w:r w:rsidRPr="00C46861">
              <w:rPr>
                <w:rFonts w:cstheme="minorHAnsi"/>
                <w:b/>
                <w:szCs w:val="20"/>
              </w:rPr>
              <w:t>Squashing a spring</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C46861" w:rsidRPr="00C46861" w:rsidRDefault="00C46861" w:rsidP="00C46861">
            <w:pPr>
              <w:jc w:val="center"/>
              <w:rPr>
                <w:rFonts w:cstheme="minorHAnsi"/>
                <w:b/>
                <w:color w:val="FF0000"/>
                <w:szCs w:val="20"/>
              </w:rPr>
            </w:pPr>
            <w:r w:rsidRPr="00C46861">
              <w:rPr>
                <w:rFonts w:cstheme="minorHAnsi"/>
                <w:b/>
                <w:szCs w:val="20"/>
              </w:rPr>
              <w:t>Ruler bridge</w:t>
            </w:r>
          </w:p>
        </w:tc>
        <w:tc>
          <w:tcPr>
            <w:tcW w:w="2790" w:type="dxa"/>
            <w:tcBorders>
              <w:left w:val="single" w:sz="4" w:space="0" w:color="auto"/>
              <w:bottom w:val="nil"/>
            </w:tcBorders>
            <w:shd w:val="clear" w:color="auto" w:fill="E5DFEC" w:themeFill="accent4" w:themeFillTint="33"/>
            <w:vAlign w:val="center"/>
          </w:tcPr>
          <w:p w:rsidR="00C46861" w:rsidRPr="00C46861" w:rsidRDefault="00C46861" w:rsidP="00C46861">
            <w:pPr>
              <w:jc w:val="center"/>
              <w:rPr>
                <w:rFonts w:cstheme="minorHAnsi"/>
                <w:b/>
                <w:color w:val="FF0000"/>
                <w:szCs w:val="20"/>
              </w:rPr>
            </w:pPr>
            <w:r w:rsidRPr="00C46861">
              <w:rPr>
                <w:rFonts w:cstheme="minorHAnsi"/>
                <w:b/>
                <w:szCs w:val="20"/>
              </w:rPr>
              <w:t>Heavy crate</w:t>
            </w:r>
          </w:p>
        </w:tc>
        <w:tc>
          <w:tcPr>
            <w:tcW w:w="2790" w:type="dxa"/>
            <w:tcBorders>
              <w:bottom w:val="nil"/>
            </w:tcBorders>
            <w:shd w:val="clear" w:color="auto" w:fill="E5DFEC" w:themeFill="accent4" w:themeFillTint="33"/>
            <w:vAlign w:val="center"/>
          </w:tcPr>
          <w:p w:rsidR="00C46861" w:rsidRPr="00C46861" w:rsidRDefault="00C46861" w:rsidP="00C46861">
            <w:pPr>
              <w:jc w:val="center"/>
              <w:rPr>
                <w:rFonts w:cstheme="minorHAnsi"/>
                <w:b/>
              </w:rPr>
            </w:pPr>
            <w:r w:rsidRPr="00C46861">
              <w:rPr>
                <w:rFonts w:cstheme="minorHAnsi"/>
                <w:b/>
                <w:szCs w:val="20"/>
              </w:rPr>
              <w:t>Light crate, heavy crate</w:t>
            </w:r>
          </w:p>
        </w:tc>
      </w:tr>
      <w:tr w:rsidR="00C46861" w:rsidTr="009A68B9">
        <w:trPr>
          <w:trHeight w:hRule="exact" w:val="3515"/>
        </w:trPr>
        <w:tc>
          <w:tcPr>
            <w:tcW w:w="2789" w:type="dxa"/>
            <w:tcBorders>
              <w:top w:val="nil"/>
              <w:bottom w:val="nil"/>
            </w:tcBorders>
            <w:vAlign w:val="center"/>
          </w:tcPr>
          <w:p w:rsidR="00C46861" w:rsidRDefault="003E03F0" w:rsidP="003E03F0">
            <w:pPr>
              <w:jc w:val="center"/>
              <w:rPr>
                <w:b/>
                <w:color w:val="5F497A" w:themeColor="accent4" w:themeShade="BF"/>
                <w:sz w:val="24"/>
              </w:rPr>
            </w:pPr>
            <w:r>
              <w:rPr>
                <w:b/>
                <w:noProof/>
                <w:color w:val="5F497A" w:themeColor="accent4" w:themeShade="BF"/>
                <w:sz w:val="24"/>
                <w:lang w:eastAsia="en-GB"/>
              </w:rPr>
              <w:drawing>
                <wp:inline distT="0" distB="0" distL="0" distR="0">
                  <wp:extent cx="1520807" cy="2160000"/>
                  <wp:effectExtent l="19050" t="19050" r="2286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AC3576.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0807"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C46861" w:rsidRDefault="00CB2CAF" w:rsidP="003E03F0">
            <w:pPr>
              <w:jc w:val="center"/>
              <w:rPr>
                <w:b/>
                <w:color w:val="5F497A" w:themeColor="accent4" w:themeShade="BF"/>
                <w:sz w:val="24"/>
              </w:rPr>
            </w:pPr>
            <w:r>
              <w:rPr>
                <w:b/>
                <w:noProof/>
                <w:color w:val="5F497A" w:themeColor="accent4" w:themeShade="BF"/>
                <w:sz w:val="24"/>
                <w:lang w:eastAsia="en-GB"/>
              </w:rPr>
              <w:drawing>
                <wp:anchor distT="0" distB="0" distL="114300" distR="114300" simplePos="0" relativeHeight="251718656" behindDoc="0" locked="0" layoutInCell="1" allowOverlap="1">
                  <wp:simplePos x="0" y="0"/>
                  <wp:positionH relativeFrom="column">
                    <wp:posOffset>23495</wp:posOffset>
                  </wp:positionH>
                  <wp:positionV relativeFrom="paragraph">
                    <wp:posOffset>20320</wp:posOffset>
                  </wp:positionV>
                  <wp:extent cx="1522730" cy="2159635"/>
                  <wp:effectExtent l="19050" t="19050" r="20320" b="120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ACE1DD.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2730"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r>
              <w:rPr>
                <w:b/>
                <w:noProof/>
                <w:color w:val="5F497A" w:themeColor="accent4" w:themeShade="BF"/>
                <w:sz w:val="24"/>
                <w:lang w:eastAsia="en-GB"/>
              </w:rPr>
              <w:drawing>
                <wp:anchor distT="0" distB="0" distL="114300" distR="114300" simplePos="0" relativeHeight="251717632" behindDoc="0" locked="0" layoutInCell="1" allowOverlap="1">
                  <wp:simplePos x="0" y="0"/>
                  <wp:positionH relativeFrom="column">
                    <wp:posOffset>92710</wp:posOffset>
                  </wp:positionH>
                  <wp:positionV relativeFrom="paragraph">
                    <wp:posOffset>29845</wp:posOffset>
                  </wp:positionV>
                  <wp:extent cx="1522095" cy="2159635"/>
                  <wp:effectExtent l="19050" t="19050" r="20955" b="1206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AC5A0F.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22095" cy="2159635"/>
                          </a:xfrm>
                          <a:prstGeom prst="rect">
                            <a:avLst/>
                          </a:prstGeom>
                          <a:ln w="6350">
                            <a:solidFill>
                              <a:schemeClr val="accent4">
                                <a:lumMod val="50000"/>
                              </a:schemeClr>
                            </a:solidFill>
                          </a:ln>
                        </pic:spPr>
                      </pic:pic>
                    </a:graphicData>
                  </a:graphic>
                  <wp14:sizeRelH relativeFrom="margin">
                    <wp14:pctWidth>0</wp14:pctWidth>
                  </wp14:sizeRelH>
                  <wp14:sizeRelV relativeFrom="margin">
                    <wp14:pctHeight>0</wp14:pctHeight>
                  </wp14:sizeRelV>
                </wp:anchor>
              </w:drawing>
            </w:r>
          </w:p>
        </w:tc>
        <w:tc>
          <w:tcPr>
            <w:tcW w:w="2790" w:type="dxa"/>
            <w:tcBorders>
              <w:top w:val="nil"/>
              <w:bottom w:val="nil"/>
            </w:tcBorders>
            <w:vAlign w:val="center"/>
          </w:tcPr>
          <w:p w:rsidR="00C46861" w:rsidRDefault="00015BE9" w:rsidP="003E03F0">
            <w:pPr>
              <w:jc w:val="center"/>
              <w:rPr>
                <w:b/>
                <w:color w:val="5F497A" w:themeColor="accent4" w:themeShade="BF"/>
                <w:sz w:val="24"/>
              </w:rPr>
            </w:pPr>
            <w:r>
              <w:rPr>
                <w:b/>
                <w:noProof/>
                <w:color w:val="5F497A" w:themeColor="accent4" w:themeShade="BF"/>
                <w:sz w:val="24"/>
                <w:lang w:eastAsia="en-GB"/>
              </w:rPr>
              <w:drawing>
                <wp:inline distT="0" distB="0" distL="0" distR="0">
                  <wp:extent cx="1518174" cy="2160000"/>
                  <wp:effectExtent l="19050" t="19050" r="25400" b="1206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0ACF7.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817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C46861" w:rsidRDefault="00584495" w:rsidP="00435ECA">
            <w:pPr>
              <w:jc w:val="center"/>
              <w:rPr>
                <w:b/>
                <w:color w:val="5F497A" w:themeColor="accent4" w:themeShade="BF"/>
                <w:sz w:val="24"/>
              </w:rPr>
            </w:pPr>
            <w:r>
              <w:rPr>
                <w:b/>
                <w:noProof/>
                <w:color w:val="5F497A" w:themeColor="accent4" w:themeShade="BF"/>
                <w:sz w:val="24"/>
                <w:lang w:eastAsia="en-GB"/>
              </w:rPr>
              <w:drawing>
                <wp:inline distT="0" distB="0" distL="0" distR="0">
                  <wp:extent cx="1526550" cy="2160000"/>
                  <wp:effectExtent l="19050" t="19050" r="1651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F0D333.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655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C46861" w:rsidRDefault="00216ED8" w:rsidP="003E03F0">
            <w:pPr>
              <w:jc w:val="center"/>
              <w:rPr>
                <w:b/>
                <w:color w:val="5F497A" w:themeColor="accent4" w:themeShade="BF"/>
                <w:sz w:val="24"/>
              </w:rPr>
            </w:pPr>
            <w:r>
              <w:rPr>
                <w:b/>
                <w:noProof/>
                <w:color w:val="5F497A" w:themeColor="accent4" w:themeShade="BF"/>
                <w:sz w:val="24"/>
                <w:lang w:eastAsia="en-GB"/>
              </w:rPr>
              <w:drawing>
                <wp:inline distT="0" distB="0" distL="0" distR="0">
                  <wp:extent cx="1525114" cy="2160000"/>
                  <wp:effectExtent l="19050" t="19050" r="18415"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F09AAC.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5114" cy="2160000"/>
                          </a:xfrm>
                          <a:prstGeom prst="rect">
                            <a:avLst/>
                          </a:prstGeom>
                          <a:ln w="6350">
                            <a:solidFill>
                              <a:schemeClr val="accent4">
                                <a:lumMod val="50000"/>
                              </a:schemeClr>
                            </a:solidFill>
                          </a:ln>
                        </pic:spPr>
                      </pic:pic>
                    </a:graphicData>
                  </a:graphic>
                </wp:inline>
              </w:drawing>
            </w:r>
          </w:p>
        </w:tc>
      </w:tr>
      <w:tr w:rsidR="00C46861" w:rsidTr="00C34EF0">
        <w:trPr>
          <w:trHeight w:hRule="exact" w:val="454"/>
        </w:trPr>
        <w:tc>
          <w:tcPr>
            <w:tcW w:w="2789" w:type="dxa"/>
            <w:tcBorders>
              <w:top w:val="nil"/>
              <w:bottom w:val="single" w:sz="4" w:space="0" w:color="auto"/>
            </w:tcBorders>
            <w:shd w:val="clear" w:color="auto" w:fill="E5DFEC" w:themeFill="accent4" w:themeFillTint="33"/>
            <w:vAlign w:val="center"/>
          </w:tcPr>
          <w:p w:rsidR="00C46861" w:rsidRPr="00EA6AA1" w:rsidRDefault="002A4B5B" w:rsidP="00C46861">
            <w:pPr>
              <w:spacing w:after="120" w:line="276" w:lineRule="auto"/>
              <w:jc w:val="center"/>
            </w:pPr>
            <w:r>
              <w:t>Simple</w:t>
            </w:r>
            <w:r w:rsidRPr="00535269">
              <w:t xml:space="preserve"> multiple</w:t>
            </w:r>
            <w:r>
              <w:t xml:space="preserve"> choice</w:t>
            </w:r>
          </w:p>
        </w:tc>
        <w:tc>
          <w:tcPr>
            <w:tcW w:w="2789" w:type="dxa"/>
            <w:tcBorders>
              <w:top w:val="nil"/>
              <w:bottom w:val="single" w:sz="4" w:space="0" w:color="auto"/>
            </w:tcBorders>
            <w:shd w:val="clear" w:color="auto" w:fill="E5DFEC" w:themeFill="accent4" w:themeFillTint="33"/>
            <w:vAlign w:val="center"/>
          </w:tcPr>
          <w:p w:rsidR="00C46861" w:rsidRPr="00EA6AA1" w:rsidRDefault="002C697E" w:rsidP="00C46861">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C46861" w:rsidRPr="00EA6AA1" w:rsidRDefault="00015BE9" w:rsidP="00C46861">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C46861" w:rsidRPr="00EA6AA1" w:rsidRDefault="00435ECA" w:rsidP="00C46861">
            <w:pPr>
              <w:spacing w:after="120" w:line="276" w:lineRule="auto"/>
              <w:jc w:val="center"/>
            </w:pPr>
            <w:r>
              <w:t>Simple</w:t>
            </w:r>
            <w:r w:rsidRPr="00535269">
              <w:t xml:space="preserve"> multiple</w:t>
            </w:r>
            <w:r>
              <w:t xml:space="preserve"> choice</w:t>
            </w:r>
          </w:p>
        </w:tc>
        <w:tc>
          <w:tcPr>
            <w:tcW w:w="2790" w:type="dxa"/>
            <w:tcBorders>
              <w:top w:val="nil"/>
              <w:bottom w:val="single" w:sz="4" w:space="0" w:color="auto"/>
            </w:tcBorders>
            <w:shd w:val="clear" w:color="auto" w:fill="E5DFEC" w:themeFill="accent4" w:themeFillTint="33"/>
            <w:vAlign w:val="center"/>
          </w:tcPr>
          <w:p w:rsidR="00C46861" w:rsidRPr="00EA6AA1" w:rsidRDefault="00925065" w:rsidP="00C46861">
            <w:pPr>
              <w:spacing w:after="120" w:line="276" w:lineRule="auto"/>
              <w:jc w:val="center"/>
            </w:pPr>
            <w:r>
              <w:t>Confidence grid</w:t>
            </w:r>
          </w:p>
        </w:tc>
      </w:tr>
      <w:tr w:rsidR="00C46861" w:rsidRPr="00C46861" w:rsidTr="00C34EF0">
        <w:trPr>
          <w:trHeight w:hRule="exact" w:val="340"/>
        </w:trPr>
        <w:tc>
          <w:tcPr>
            <w:tcW w:w="2789" w:type="dxa"/>
            <w:tcBorders>
              <w:bottom w:val="nil"/>
            </w:tcBorders>
            <w:shd w:val="clear" w:color="auto" w:fill="E5DFEC" w:themeFill="accent4" w:themeFillTint="33"/>
            <w:vAlign w:val="center"/>
          </w:tcPr>
          <w:p w:rsidR="00C46861" w:rsidRPr="00C46861" w:rsidRDefault="00C46861" w:rsidP="00C46861">
            <w:pPr>
              <w:spacing w:line="276" w:lineRule="auto"/>
              <w:jc w:val="center"/>
              <w:rPr>
                <w:b/>
              </w:rPr>
            </w:pPr>
            <w:r w:rsidRPr="00C46861">
              <w:rPr>
                <w:rFonts w:cstheme="minorHAnsi"/>
                <w:b/>
                <w:szCs w:val="20"/>
              </w:rPr>
              <w:t>Ball on a rope</w:t>
            </w:r>
          </w:p>
        </w:tc>
        <w:tc>
          <w:tcPr>
            <w:tcW w:w="2789" w:type="dxa"/>
            <w:tcBorders>
              <w:bottom w:val="nil"/>
            </w:tcBorders>
            <w:shd w:val="clear" w:color="auto" w:fill="B2A1C7" w:themeFill="accent4" w:themeFillTint="99"/>
            <w:vAlign w:val="center"/>
          </w:tcPr>
          <w:p w:rsidR="00C46861" w:rsidRPr="00C46861" w:rsidRDefault="00C46861" w:rsidP="00C46861">
            <w:pPr>
              <w:jc w:val="center"/>
              <w:rPr>
                <w:rFonts w:cstheme="minorHAnsi"/>
                <w:b/>
                <w:color w:val="984806" w:themeColor="accent6" w:themeShade="80"/>
                <w:szCs w:val="20"/>
              </w:rPr>
            </w:pPr>
            <w:r w:rsidRPr="00C46861">
              <w:rPr>
                <w:rFonts w:cstheme="minorHAnsi"/>
                <w:b/>
                <w:color w:val="000000" w:themeColor="text1"/>
                <w:szCs w:val="20"/>
              </w:rPr>
              <w:t>Adding more weight</w:t>
            </w:r>
          </w:p>
        </w:tc>
        <w:tc>
          <w:tcPr>
            <w:tcW w:w="2790" w:type="dxa"/>
            <w:tcBorders>
              <w:bottom w:val="nil"/>
            </w:tcBorders>
            <w:shd w:val="clear" w:color="auto" w:fill="B2A1C7" w:themeFill="accent4" w:themeFillTint="99"/>
            <w:vAlign w:val="center"/>
          </w:tcPr>
          <w:p w:rsidR="00C46861" w:rsidRPr="00C46861" w:rsidRDefault="00C46861" w:rsidP="00C46861">
            <w:pPr>
              <w:jc w:val="center"/>
              <w:rPr>
                <w:rFonts w:cstheme="minorHAnsi"/>
                <w:b/>
              </w:rPr>
            </w:pPr>
            <w:r w:rsidRPr="00C46861">
              <w:rPr>
                <w:rFonts w:cstheme="minorHAnsi"/>
                <w:b/>
                <w:color w:val="000000" w:themeColor="text1"/>
                <w:szCs w:val="20"/>
              </w:rPr>
              <w:t>Holding a book</w:t>
            </w:r>
          </w:p>
        </w:tc>
        <w:tc>
          <w:tcPr>
            <w:tcW w:w="2790" w:type="dxa"/>
            <w:tcBorders>
              <w:bottom w:val="nil"/>
            </w:tcBorders>
            <w:shd w:val="clear" w:color="auto" w:fill="B2A1C7" w:themeFill="accent4" w:themeFillTint="99"/>
            <w:vAlign w:val="center"/>
          </w:tcPr>
          <w:p w:rsidR="00C46861" w:rsidRPr="00C46861" w:rsidRDefault="00C46861" w:rsidP="00C46861">
            <w:pPr>
              <w:jc w:val="center"/>
              <w:rPr>
                <w:rFonts w:cstheme="minorHAnsi"/>
                <w:b/>
                <w:color w:val="FF0000"/>
                <w:szCs w:val="20"/>
              </w:rPr>
            </w:pPr>
            <w:r w:rsidRPr="00C46861">
              <w:rPr>
                <w:rFonts w:cstheme="minorHAnsi"/>
                <w:b/>
                <w:color w:val="000000" w:themeColor="text1"/>
                <w:szCs w:val="20"/>
              </w:rPr>
              <w:t>John’s plank</w:t>
            </w:r>
          </w:p>
        </w:tc>
        <w:tc>
          <w:tcPr>
            <w:tcW w:w="2790" w:type="dxa"/>
            <w:tcBorders>
              <w:left w:val="nil"/>
              <w:bottom w:val="nil"/>
              <w:right w:val="single" w:sz="4" w:space="0" w:color="auto"/>
            </w:tcBorders>
            <w:shd w:val="clear" w:color="auto" w:fill="B2A1C7" w:themeFill="accent4" w:themeFillTint="99"/>
            <w:vAlign w:val="center"/>
          </w:tcPr>
          <w:p w:rsidR="00C46861" w:rsidRPr="00C46861" w:rsidRDefault="00C46861" w:rsidP="00C46861">
            <w:pPr>
              <w:jc w:val="center"/>
              <w:rPr>
                <w:rFonts w:cstheme="minorHAnsi"/>
                <w:b/>
                <w:color w:val="FF0000"/>
                <w:szCs w:val="20"/>
              </w:rPr>
            </w:pPr>
            <w:r w:rsidRPr="00C46861">
              <w:rPr>
                <w:rFonts w:cstheme="minorHAnsi"/>
                <w:b/>
                <w:szCs w:val="20"/>
              </w:rPr>
              <w:t>Squashing a mattress</w:t>
            </w:r>
          </w:p>
        </w:tc>
      </w:tr>
      <w:tr w:rsidR="00C46861" w:rsidTr="00C34EF0">
        <w:trPr>
          <w:trHeight w:hRule="exact" w:val="3515"/>
        </w:trPr>
        <w:tc>
          <w:tcPr>
            <w:tcW w:w="2789" w:type="dxa"/>
            <w:tcBorders>
              <w:top w:val="nil"/>
              <w:bottom w:val="nil"/>
            </w:tcBorders>
            <w:vAlign w:val="center"/>
          </w:tcPr>
          <w:p w:rsidR="00C46861" w:rsidRPr="00FC1013" w:rsidRDefault="00F12DED" w:rsidP="003E03F0">
            <w:pPr>
              <w:jc w:val="center"/>
            </w:pPr>
            <w:r>
              <w:rPr>
                <w:noProof/>
                <w:lang w:eastAsia="en-GB"/>
              </w:rPr>
              <w:drawing>
                <wp:inline distT="0" distB="0" distL="0" distR="0">
                  <wp:extent cx="1526789" cy="2160000"/>
                  <wp:effectExtent l="19050" t="19050" r="16510" b="1206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F08AFC.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C46861" w:rsidRPr="00FC1013" w:rsidRDefault="00DF0EA2" w:rsidP="003E03F0">
            <w:pPr>
              <w:jc w:val="center"/>
            </w:pPr>
            <w:r>
              <w:rPr>
                <w:noProof/>
                <w:lang w:eastAsia="en-GB"/>
              </w:rPr>
              <w:drawing>
                <wp:inline distT="0" distB="0" distL="0" distR="0">
                  <wp:extent cx="1520089" cy="2160000"/>
                  <wp:effectExtent l="19050" t="19050" r="2349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AC4E96.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0089"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C46861" w:rsidRPr="00FC1013" w:rsidRDefault="00065A88" w:rsidP="003E03F0">
            <w:pPr>
              <w:jc w:val="center"/>
            </w:pPr>
            <w:r>
              <w:rPr>
                <w:noProof/>
                <w:lang w:eastAsia="en-GB"/>
              </w:rPr>
              <w:drawing>
                <wp:inline distT="0" distB="0" distL="0" distR="0">
                  <wp:extent cx="1521524" cy="2160000"/>
                  <wp:effectExtent l="19050" t="19050" r="21590"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AC8BE7.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21524"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C46861" w:rsidRPr="00FC1013" w:rsidRDefault="004778AE" w:rsidP="003E03F0">
            <w:pPr>
              <w:jc w:val="center"/>
            </w:pPr>
            <w:r>
              <w:rPr>
                <w:noProof/>
                <w:lang w:eastAsia="en-GB"/>
              </w:rPr>
              <w:drawing>
                <wp:inline distT="0" distB="0" distL="0" distR="0">
                  <wp:extent cx="1526550" cy="2160000"/>
                  <wp:effectExtent l="19050" t="19050" r="16510" b="120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0DF9.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6550" cy="2160000"/>
                          </a:xfrm>
                          <a:prstGeom prst="rect">
                            <a:avLst/>
                          </a:prstGeom>
                          <a:ln w="6350">
                            <a:solidFill>
                              <a:schemeClr val="accent4">
                                <a:lumMod val="50000"/>
                              </a:schemeClr>
                            </a:solidFill>
                          </a:ln>
                        </pic:spPr>
                      </pic:pic>
                    </a:graphicData>
                  </a:graphic>
                </wp:inline>
              </w:drawing>
            </w:r>
          </w:p>
        </w:tc>
        <w:tc>
          <w:tcPr>
            <w:tcW w:w="2790" w:type="dxa"/>
            <w:tcBorders>
              <w:top w:val="nil"/>
              <w:left w:val="nil"/>
              <w:bottom w:val="nil"/>
              <w:right w:val="single" w:sz="4" w:space="0" w:color="auto"/>
            </w:tcBorders>
            <w:shd w:val="clear" w:color="auto" w:fill="auto"/>
            <w:vAlign w:val="center"/>
          </w:tcPr>
          <w:p w:rsidR="00C46861" w:rsidRPr="00FC1013" w:rsidRDefault="007939BC" w:rsidP="003E03F0">
            <w:pPr>
              <w:jc w:val="center"/>
            </w:pPr>
            <w:r>
              <w:rPr>
                <w:noProof/>
                <w:lang w:eastAsia="en-GB"/>
              </w:rPr>
              <w:drawing>
                <wp:inline distT="0" distB="0" distL="0" distR="0">
                  <wp:extent cx="1528225" cy="2160000"/>
                  <wp:effectExtent l="19050" t="19050" r="15240" b="1206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F0DD5.tmp"/>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528225" cy="2160000"/>
                          </a:xfrm>
                          <a:prstGeom prst="rect">
                            <a:avLst/>
                          </a:prstGeom>
                          <a:ln w="6350">
                            <a:solidFill>
                              <a:schemeClr val="accent4">
                                <a:lumMod val="50000"/>
                              </a:schemeClr>
                            </a:solidFill>
                          </a:ln>
                        </pic:spPr>
                      </pic:pic>
                    </a:graphicData>
                  </a:graphic>
                </wp:inline>
              </w:drawing>
            </w:r>
          </w:p>
        </w:tc>
      </w:tr>
      <w:tr w:rsidR="00C46861" w:rsidTr="00C34EF0">
        <w:trPr>
          <w:trHeight w:hRule="exact" w:val="454"/>
        </w:trPr>
        <w:tc>
          <w:tcPr>
            <w:tcW w:w="2789" w:type="dxa"/>
            <w:tcBorders>
              <w:top w:val="nil"/>
            </w:tcBorders>
            <w:shd w:val="clear" w:color="auto" w:fill="E5DFEC" w:themeFill="accent4" w:themeFillTint="33"/>
            <w:vAlign w:val="center"/>
          </w:tcPr>
          <w:p w:rsidR="00C46861" w:rsidRPr="00FC1013" w:rsidRDefault="00F12DED" w:rsidP="00C46861">
            <w:pPr>
              <w:spacing w:after="120" w:line="276" w:lineRule="auto"/>
              <w:jc w:val="center"/>
            </w:pPr>
            <w:r>
              <w:t>Simple</w:t>
            </w:r>
            <w:r w:rsidRPr="00535269">
              <w:t xml:space="preserve"> multiple</w:t>
            </w:r>
            <w:r>
              <w:t xml:space="preserve"> choice</w:t>
            </w:r>
          </w:p>
        </w:tc>
        <w:tc>
          <w:tcPr>
            <w:tcW w:w="2789" w:type="dxa"/>
            <w:tcBorders>
              <w:top w:val="nil"/>
            </w:tcBorders>
            <w:shd w:val="clear" w:color="auto" w:fill="B2A1C7" w:themeFill="accent4" w:themeFillTint="99"/>
            <w:vAlign w:val="center"/>
          </w:tcPr>
          <w:p w:rsidR="00C46861" w:rsidRPr="00FC1013" w:rsidRDefault="00DF0EA2" w:rsidP="00C46861">
            <w:pPr>
              <w:spacing w:after="120" w:line="276" w:lineRule="auto"/>
              <w:jc w:val="center"/>
            </w:pPr>
            <w:r w:rsidRPr="00DF0EA2">
              <w:rPr>
                <w:sz w:val="18"/>
              </w:rPr>
              <w:t>Predict, explain, observe, explain</w:t>
            </w:r>
          </w:p>
        </w:tc>
        <w:tc>
          <w:tcPr>
            <w:tcW w:w="2790" w:type="dxa"/>
            <w:tcBorders>
              <w:top w:val="nil"/>
            </w:tcBorders>
            <w:shd w:val="clear" w:color="auto" w:fill="B2A1C7" w:themeFill="accent4" w:themeFillTint="99"/>
            <w:vAlign w:val="center"/>
          </w:tcPr>
          <w:p w:rsidR="00C46861" w:rsidRPr="00FC1013" w:rsidRDefault="00120F8D" w:rsidP="00C46861">
            <w:pPr>
              <w:spacing w:after="120" w:line="276" w:lineRule="auto"/>
              <w:jc w:val="center"/>
            </w:pPr>
            <w:r>
              <w:t>Talking heads</w:t>
            </w:r>
          </w:p>
        </w:tc>
        <w:tc>
          <w:tcPr>
            <w:tcW w:w="2790" w:type="dxa"/>
            <w:tcBorders>
              <w:top w:val="nil"/>
            </w:tcBorders>
            <w:shd w:val="clear" w:color="auto" w:fill="B2A1C7" w:themeFill="accent4" w:themeFillTint="99"/>
            <w:vAlign w:val="center"/>
          </w:tcPr>
          <w:p w:rsidR="00C46861" w:rsidRPr="00FC1013" w:rsidRDefault="004778AE" w:rsidP="00C46861">
            <w:pPr>
              <w:spacing w:after="120" w:line="276" w:lineRule="auto"/>
              <w:jc w:val="center"/>
            </w:pPr>
            <w:r>
              <w:t>Explanation story</w:t>
            </w:r>
          </w:p>
        </w:tc>
        <w:tc>
          <w:tcPr>
            <w:tcW w:w="2790" w:type="dxa"/>
            <w:tcBorders>
              <w:top w:val="nil"/>
              <w:left w:val="nil"/>
              <w:bottom w:val="single" w:sz="4" w:space="0" w:color="auto"/>
              <w:right w:val="single" w:sz="4" w:space="0" w:color="auto"/>
            </w:tcBorders>
            <w:shd w:val="clear" w:color="auto" w:fill="B2A1C7" w:themeFill="accent4" w:themeFillTint="99"/>
            <w:vAlign w:val="center"/>
          </w:tcPr>
          <w:p w:rsidR="00C46861" w:rsidRPr="00FC1013" w:rsidRDefault="00566B22" w:rsidP="00C46861">
            <w:pPr>
              <w:spacing w:after="120" w:line="276" w:lineRule="auto"/>
              <w:jc w:val="center"/>
            </w:pPr>
            <w:r>
              <w:t>Critiquing a representation</w:t>
            </w:r>
          </w:p>
        </w:tc>
      </w:tr>
    </w:tbl>
    <w:p w:rsidR="00C34EF0" w:rsidRDefault="00C34EF0">
      <w:pPr>
        <w:spacing w:after="200" w:line="276" w:lineRule="auto"/>
        <w:rPr>
          <w:b/>
          <w:color w:val="5F497A" w:themeColor="accent4" w:themeShade="BF"/>
          <w:sz w:val="24"/>
        </w:rPr>
      </w:pP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C34EF0" w:rsidRPr="00C46861" w:rsidTr="00C34EF0">
        <w:trPr>
          <w:trHeight w:hRule="exact" w:val="340"/>
        </w:trPr>
        <w:tc>
          <w:tcPr>
            <w:tcW w:w="2789" w:type="dxa"/>
            <w:tcBorders>
              <w:top w:val="single" w:sz="4" w:space="0" w:color="auto"/>
              <w:left w:val="single" w:sz="4" w:space="0" w:color="auto"/>
              <w:bottom w:val="nil"/>
              <w:right w:val="single" w:sz="4" w:space="0" w:color="auto"/>
            </w:tcBorders>
            <w:shd w:val="clear" w:color="auto" w:fill="B2A1C7" w:themeFill="accent4" w:themeFillTint="99"/>
            <w:vAlign w:val="center"/>
          </w:tcPr>
          <w:p w:rsidR="00C34EF0" w:rsidRPr="00C46861" w:rsidRDefault="00C46861" w:rsidP="009A43DE">
            <w:pPr>
              <w:jc w:val="center"/>
              <w:rPr>
                <w:rFonts w:cstheme="minorHAnsi"/>
                <w:b/>
                <w:color w:val="984806" w:themeColor="accent6" w:themeShade="80"/>
              </w:rPr>
            </w:pPr>
            <w:r w:rsidRPr="00C46861">
              <w:rPr>
                <w:rFonts w:cstheme="minorHAnsi"/>
                <w:b/>
                <w:szCs w:val="20"/>
              </w:rPr>
              <w:lastRenderedPageBreak/>
              <w:t>Box on a table</w:t>
            </w:r>
          </w:p>
        </w:tc>
        <w:tc>
          <w:tcPr>
            <w:tcW w:w="2789" w:type="dxa"/>
            <w:tcBorders>
              <w:top w:val="single" w:sz="4" w:space="0" w:color="auto"/>
              <w:left w:val="single" w:sz="4" w:space="0" w:color="auto"/>
              <w:bottom w:val="nil"/>
              <w:right w:val="single" w:sz="4" w:space="0" w:color="auto"/>
            </w:tcBorders>
            <w:shd w:val="clear" w:color="auto" w:fill="B2A1C7" w:themeFill="accent4" w:themeFillTint="99"/>
            <w:vAlign w:val="center"/>
          </w:tcPr>
          <w:p w:rsidR="00C34EF0" w:rsidRPr="00C46861" w:rsidRDefault="00C46861" w:rsidP="009A43DE">
            <w:pPr>
              <w:jc w:val="center"/>
              <w:rPr>
                <w:rFonts w:cstheme="minorHAnsi"/>
                <w:b/>
                <w:color w:val="984806" w:themeColor="accent6" w:themeShade="80"/>
              </w:rPr>
            </w:pPr>
            <w:r w:rsidRPr="00C46861">
              <w:rPr>
                <w:rFonts w:cstheme="minorHAnsi"/>
                <w:b/>
                <w:szCs w:val="20"/>
              </w:rPr>
              <w:t>Hanging ball</w:t>
            </w:r>
          </w:p>
        </w:tc>
        <w:tc>
          <w:tcPr>
            <w:tcW w:w="2790" w:type="dxa"/>
            <w:tcBorders>
              <w:top w:val="nil"/>
              <w:left w:val="single" w:sz="4" w:space="0" w:color="auto"/>
              <w:bottom w:val="nil"/>
              <w:right w:val="nil"/>
            </w:tcBorders>
            <w:shd w:val="clear" w:color="auto" w:fill="auto"/>
            <w:vAlign w:val="center"/>
          </w:tcPr>
          <w:p w:rsidR="00C34EF0" w:rsidRPr="00C46861" w:rsidRDefault="00C34EF0" w:rsidP="009A43DE">
            <w:pPr>
              <w:jc w:val="center"/>
              <w:rPr>
                <w:rFonts w:cstheme="minorHAnsi"/>
                <w:b/>
                <w:color w:val="FF0000"/>
              </w:rPr>
            </w:pPr>
          </w:p>
        </w:tc>
        <w:tc>
          <w:tcPr>
            <w:tcW w:w="2790" w:type="dxa"/>
            <w:tcBorders>
              <w:top w:val="nil"/>
              <w:left w:val="nil"/>
              <w:bottom w:val="nil"/>
              <w:right w:val="nil"/>
            </w:tcBorders>
            <w:shd w:val="clear" w:color="auto" w:fill="auto"/>
            <w:vAlign w:val="center"/>
          </w:tcPr>
          <w:p w:rsidR="00C34EF0" w:rsidRPr="00C46861" w:rsidRDefault="00C34EF0" w:rsidP="009A43DE">
            <w:pPr>
              <w:jc w:val="center"/>
              <w:rPr>
                <w:rFonts w:cstheme="minorHAnsi"/>
                <w:b/>
              </w:rPr>
            </w:pPr>
          </w:p>
        </w:tc>
        <w:tc>
          <w:tcPr>
            <w:tcW w:w="2790" w:type="dxa"/>
            <w:tcBorders>
              <w:top w:val="nil"/>
              <w:left w:val="nil"/>
              <w:bottom w:val="nil"/>
              <w:right w:val="nil"/>
            </w:tcBorders>
            <w:shd w:val="clear" w:color="auto" w:fill="auto"/>
            <w:vAlign w:val="center"/>
          </w:tcPr>
          <w:p w:rsidR="00C34EF0" w:rsidRPr="00C46861" w:rsidRDefault="00C34EF0" w:rsidP="009A43DE">
            <w:pPr>
              <w:jc w:val="center"/>
              <w:rPr>
                <w:rFonts w:cstheme="minorHAnsi"/>
                <w:b/>
              </w:rPr>
            </w:pPr>
          </w:p>
        </w:tc>
      </w:tr>
      <w:tr w:rsidR="00C34EF0" w:rsidTr="000A678B">
        <w:trPr>
          <w:trHeight w:hRule="exact" w:val="3515"/>
        </w:trPr>
        <w:tc>
          <w:tcPr>
            <w:tcW w:w="2789" w:type="dxa"/>
            <w:tcBorders>
              <w:top w:val="nil"/>
              <w:bottom w:val="nil"/>
            </w:tcBorders>
            <w:vAlign w:val="center"/>
          </w:tcPr>
          <w:p w:rsidR="00C34EF0" w:rsidRDefault="00000AFE" w:rsidP="003E03F0">
            <w:pPr>
              <w:jc w:val="center"/>
              <w:rPr>
                <w:b/>
                <w:color w:val="5F497A" w:themeColor="accent4" w:themeShade="BF"/>
                <w:sz w:val="24"/>
              </w:rPr>
            </w:pPr>
            <w:r>
              <w:rPr>
                <w:b/>
                <w:noProof/>
                <w:color w:val="5F497A" w:themeColor="accent4" w:themeShade="BF"/>
                <w:sz w:val="24"/>
                <w:lang w:eastAsia="en-GB"/>
              </w:rPr>
              <w:drawing>
                <wp:inline distT="0" distB="0" distL="0" distR="0">
                  <wp:extent cx="1523200" cy="2160000"/>
                  <wp:effectExtent l="19050" t="19050" r="20320" b="1206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F0A693.tmp"/>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523200"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C34EF0" w:rsidRDefault="006A37C9" w:rsidP="003E03F0">
            <w:pPr>
              <w:jc w:val="center"/>
              <w:rPr>
                <w:b/>
                <w:color w:val="5F497A" w:themeColor="accent4" w:themeShade="BF"/>
                <w:sz w:val="24"/>
              </w:rPr>
            </w:pPr>
            <w:r>
              <w:rPr>
                <w:b/>
                <w:noProof/>
                <w:color w:val="5F497A" w:themeColor="accent4" w:themeShade="BF"/>
                <w:sz w:val="24"/>
                <w:lang w:eastAsia="en-GB"/>
              </w:rPr>
              <w:drawing>
                <wp:inline distT="0" distB="0" distL="0" distR="0">
                  <wp:extent cx="1525114" cy="2160000"/>
                  <wp:effectExtent l="19050" t="19050" r="1841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AF0E9DE.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525114"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nil"/>
            </w:tcBorders>
            <w:vAlign w:val="center"/>
          </w:tcPr>
          <w:p w:rsidR="00C34EF0" w:rsidRDefault="00C34EF0" w:rsidP="003E03F0">
            <w:pPr>
              <w:jc w:val="center"/>
              <w:rPr>
                <w:b/>
                <w:color w:val="5F497A" w:themeColor="accent4" w:themeShade="BF"/>
                <w:sz w:val="24"/>
              </w:rPr>
            </w:pPr>
          </w:p>
        </w:tc>
        <w:tc>
          <w:tcPr>
            <w:tcW w:w="2790" w:type="dxa"/>
            <w:tcBorders>
              <w:top w:val="nil"/>
              <w:left w:val="nil"/>
              <w:bottom w:val="nil"/>
              <w:right w:val="nil"/>
            </w:tcBorders>
            <w:vAlign w:val="center"/>
          </w:tcPr>
          <w:p w:rsidR="00C34EF0" w:rsidRDefault="00C34EF0" w:rsidP="003E03F0">
            <w:pPr>
              <w:jc w:val="center"/>
              <w:rPr>
                <w:b/>
                <w:color w:val="5F497A" w:themeColor="accent4" w:themeShade="BF"/>
                <w:sz w:val="24"/>
              </w:rPr>
            </w:pPr>
          </w:p>
        </w:tc>
        <w:tc>
          <w:tcPr>
            <w:tcW w:w="2790" w:type="dxa"/>
            <w:tcBorders>
              <w:top w:val="nil"/>
              <w:left w:val="nil"/>
              <w:bottom w:val="nil"/>
              <w:right w:val="nil"/>
            </w:tcBorders>
            <w:vAlign w:val="center"/>
          </w:tcPr>
          <w:p w:rsidR="00C34EF0" w:rsidRDefault="00C34EF0" w:rsidP="009A43DE">
            <w:pPr>
              <w:rPr>
                <w:b/>
                <w:color w:val="5F497A" w:themeColor="accent4" w:themeShade="BF"/>
                <w:sz w:val="24"/>
              </w:rPr>
            </w:pPr>
          </w:p>
        </w:tc>
      </w:tr>
      <w:tr w:rsidR="00C34EF0" w:rsidTr="000A678B">
        <w:trPr>
          <w:trHeight w:hRule="exact" w:val="454"/>
        </w:trPr>
        <w:tc>
          <w:tcPr>
            <w:tcW w:w="2789" w:type="dxa"/>
            <w:tcBorders>
              <w:top w:val="nil"/>
              <w:bottom w:val="single" w:sz="4" w:space="0" w:color="auto"/>
            </w:tcBorders>
            <w:shd w:val="clear" w:color="auto" w:fill="B2A1C7" w:themeFill="accent4" w:themeFillTint="99"/>
            <w:vAlign w:val="center"/>
          </w:tcPr>
          <w:p w:rsidR="00C34EF0" w:rsidRPr="00EA6AA1" w:rsidRDefault="000A678B" w:rsidP="009A43DE">
            <w:pPr>
              <w:spacing w:after="120" w:line="276" w:lineRule="auto"/>
              <w:jc w:val="center"/>
            </w:pPr>
            <w:r>
              <w:t>Talking heads</w:t>
            </w:r>
          </w:p>
        </w:tc>
        <w:tc>
          <w:tcPr>
            <w:tcW w:w="2789" w:type="dxa"/>
            <w:tcBorders>
              <w:top w:val="nil"/>
              <w:bottom w:val="single" w:sz="4" w:space="0" w:color="auto"/>
            </w:tcBorders>
            <w:shd w:val="clear" w:color="auto" w:fill="B2A1C7" w:themeFill="accent4" w:themeFillTint="99"/>
            <w:vAlign w:val="center"/>
          </w:tcPr>
          <w:p w:rsidR="00C34EF0" w:rsidRPr="00EA6AA1" w:rsidRDefault="006A37C9" w:rsidP="009A43DE">
            <w:pPr>
              <w:spacing w:after="120" w:line="276" w:lineRule="auto"/>
              <w:jc w:val="center"/>
            </w:pPr>
            <w:r>
              <w:t>Talking heads</w:t>
            </w:r>
          </w:p>
        </w:tc>
        <w:tc>
          <w:tcPr>
            <w:tcW w:w="2790" w:type="dxa"/>
            <w:tcBorders>
              <w:top w:val="nil"/>
              <w:bottom w:val="nil"/>
              <w:right w:val="nil"/>
            </w:tcBorders>
            <w:shd w:val="clear" w:color="auto" w:fill="auto"/>
            <w:vAlign w:val="center"/>
          </w:tcPr>
          <w:p w:rsidR="00C34EF0" w:rsidRPr="00EA6AA1" w:rsidRDefault="00C34EF0" w:rsidP="009A43DE">
            <w:pPr>
              <w:spacing w:after="120" w:line="276" w:lineRule="auto"/>
              <w:jc w:val="center"/>
            </w:pPr>
          </w:p>
        </w:tc>
        <w:tc>
          <w:tcPr>
            <w:tcW w:w="2790" w:type="dxa"/>
            <w:tcBorders>
              <w:top w:val="nil"/>
              <w:left w:val="nil"/>
              <w:bottom w:val="nil"/>
              <w:right w:val="nil"/>
            </w:tcBorders>
            <w:shd w:val="clear" w:color="auto" w:fill="auto"/>
            <w:vAlign w:val="center"/>
          </w:tcPr>
          <w:p w:rsidR="00C34EF0" w:rsidRPr="00EA6AA1" w:rsidRDefault="00C34EF0" w:rsidP="009A43DE">
            <w:pPr>
              <w:spacing w:after="120" w:line="276" w:lineRule="auto"/>
              <w:jc w:val="center"/>
            </w:pPr>
          </w:p>
        </w:tc>
        <w:tc>
          <w:tcPr>
            <w:tcW w:w="2790" w:type="dxa"/>
            <w:tcBorders>
              <w:top w:val="nil"/>
              <w:left w:val="nil"/>
              <w:bottom w:val="nil"/>
              <w:right w:val="nil"/>
            </w:tcBorders>
            <w:shd w:val="clear" w:color="auto" w:fill="auto"/>
            <w:vAlign w:val="center"/>
          </w:tcPr>
          <w:p w:rsidR="00C34EF0" w:rsidRPr="00EA6AA1" w:rsidRDefault="00C34EF0" w:rsidP="009A43DE">
            <w:pPr>
              <w:spacing w:after="120" w:line="276" w:lineRule="auto"/>
              <w:jc w:val="center"/>
            </w:pPr>
          </w:p>
        </w:tc>
      </w:tr>
      <w:tr w:rsidR="00C34EF0" w:rsidRPr="00D2452D" w:rsidTr="000A678B">
        <w:trPr>
          <w:trHeight w:hRule="exact" w:val="340"/>
        </w:trPr>
        <w:tc>
          <w:tcPr>
            <w:tcW w:w="2789" w:type="dxa"/>
            <w:tcBorders>
              <w:top w:val="single" w:sz="4" w:space="0" w:color="auto"/>
              <w:left w:val="nil"/>
              <w:bottom w:val="nil"/>
              <w:right w:val="nil"/>
            </w:tcBorders>
            <w:shd w:val="clear" w:color="auto" w:fill="auto"/>
            <w:vAlign w:val="center"/>
          </w:tcPr>
          <w:p w:rsidR="00C34EF0" w:rsidRPr="00AC1978" w:rsidRDefault="00C34EF0" w:rsidP="009A43DE">
            <w:pPr>
              <w:spacing w:line="276" w:lineRule="auto"/>
              <w:jc w:val="center"/>
              <w:rPr>
                <w:b/>
              </w:rPr>
            </w:pPr>
          </w:p>
        </w:tc>
        <w:tc>
          <w:tcPr>
            <w:tcW w:w="2789" w:type="dxa"/>
            <w:tcBorders>
              <w:top w:val="single" w:sz="4" w:space="0" w:color="auto"/>
              <w:left w:val="nil"/>
              <w:bottom w:val="nil"/>
              <w:right w:val="nil"/>
            </w:tcBorders>
            <w:shd w:val="clear" w:color="auto" w:fill="auto"/>
            <w:vAlign w:val="center"/>
          </w:tcPr>
          <w:p w:rsidR="00C34EF0" w:rsidRPr="00AC1978" w:rsidRDefault="00C34EF0" w:rsidP="009A43DE">
            <w:pPr>
              <w:jc w:val="center"/>
              <w:rPr>
                <w:rFonts w:cstheme="minorHAnsi"/>
                <w:b/>
              </w:rPr>
            </w:pPr>
          </w:p>
        </w:tc>
        <w:tc>
          <w:tcPr>
            <w:tcW w:w="2790" w:type="dxa"/>
            <w:tcBorders>
              <w:top w:val="nil"/>
              <w:left w:val="nil"/>
              <w:bottom w:val="nil"/>
              <w:right w:val="nil"/>
            </w:tcBorders>
            <w:shd w:val="clear" w:color="auto" w:fill="auto"/>
            <w:vAlign w:val="center"/>
          </w:tcPr>
          <w:p w:rsidR="00C34EF0" w:rsidRPr="00D2452D" w:rsidRDefault="00C34EF0" w:rsidP="009A43DE">
            <w:pPr>
              <w:jc w:val="center"/>
              <w:rPr>
                <w:rFonts w:cstheme="minorHAnsi"/>
                <w:b/>
              </w:rPr>
            </w:pPr>
          </w:p>
        </w:tc>
        <w:tc>
          <w:tcPr>
            <w:tcW w:w="2790" w:type="dxa"/>
            <w:tcBorders>
              <w:top w:val="nil"/>
              <w:left w:val="nil"/>
              <w:bottom w:val="nil"/>
              <w:right w:val="nil"/>
            </w:tcBorders>
            <w:shd w:val="clear" w:color="auto" w:fill="auto"/>
            <w:vAlign w:val="center"/>
          </w:tcPr>
          <w:p w:rsidR="00C34EF0" w:rsidRPr="00D2452D" w:rsidRDefault="00C34EF0" w:rsidP="009A43DE">
            <w:pPr>
              <w:jc w:val="center"/>
              <w:rPr>
                <w:rFonts w:cstheme="minorHAnsi"/>
                <w:b/>
              </w:rPr>
            </w:pPr>
          </w:p>
        </w:tc>
        <w:tc>
          <w:tcPr>
            <w:tcW w:w="2790" w:type="dxa"/>
            <w:tcBorders>
              <w:top w:val="nil"/>
              <w:left w:val="nil"/>
              <w:bottom w:val="nil"/>
              <w:right w:val="nil"/>
            </w:tcBorders>
            <w:shd w:val="clear" w:color="auto" w:fill="auto"/>
            <w:vAlign w:val="center"/>
          </w:tcPr>
          <w:p w:rsidR="00C34EF0" w:rsidRPr="00D2452D" w:rsidRDefault="00C34EF0" w:rsidP="009A43DE">
            <w:pPr>
              <w:jc w:val="center"/>
              <w:rPr>
                <w:rFonts w:cstheme="minorHAnsi"/>
                <w:b/>
              </w:rPr>
            </w:pPr>
          </w:p>
        </w:tc>
      </w:tr>
      <w:tr w:rsidR="00C34EF0" w:rsidTr="000A678B">
        <w:trPr>
          <w:trHeight w:hRule="exact" w:val="3515"/>
        </w:trPr>
        <w:tc>
          <w:tcPr>
            <w:tcW w:w="2789" w:type="dxa"/>
            <w:tcBorders>
              <w:top w:val="nil"/>
              <w:left w:val="nil"/>
              <w:bottom w:val="nil"/>
              <w:right w:val="nil"/>
            </w:tcBorders>
            <w:shd w:val="clear" w:color="auto" w:fill="auto"/>
            <w:vAlign w:val="center"/>
          </w:tcPr>
          <w:p w:rsidR="00C34EF0" w:rsidRPr="00FC1013" w:rsidRDefault="00C34EF0" w:rsidP="009A43DE"/>
        </w:tc>
        <w:tc>
          <w:tcPr>
            <w:tcW w:w="2789" w:type="dxa"/>
            <w:tcBorders>
              <w:top w:val="nil"/>
              <w:left w:val="nil"/>
              <w:bottom w:val="nil"/>
              <w:right w:val="nil"/>
            </w:tcBorders>
            <w:shd w:val="clear" w:color="auto" w:fill="auto"/>
            <w:vAlign w:val="center"/>
          </w:tcPr>
          <w:p w:rsidR="00C34EF0" w:rsidRPr="00FC1013" w:rsidRDefault="00C34EF0" w:rsidP="009A43DE"/>
        </w:tc>
        <w:tc>
          <w:tcPr>
            <w:tcW w:w="2790" w:type="dxa"/>
            <w:tcBorders>
              <w:top w:val="nil"/>
              <w:left w:val="nil"/>
              <w:bottom w:val="nil"/>
              <w:right w:val="nil"/>
            </w:tcBorders>
            <w:shd w:val="clear" w:color="auto" w:fill="auto"/>
            <w:vAlign w:val="center"/>
          </w:tcPr>
          <w:p w:rsidR="00C34EF0" w:rsidRPr="00FC1013" w:rsidRDefault="00C34EF0" w:rsidP="009A43DE"/>
        </w:tc>
        <w:tc>
          <w:tcPr>
            <w:tcW w:w="2790" w:type="dxa"/>
            <w:tcBorders>
              <w:top w:val="nil"/>
              <w:left w:val="nil"/>
              <w:bottom w:val="nil"/>
              <w:right w:val="nil"/>
            </w:tcBorders>
            <w:shd w:val="clear" w:color="auto" w:fill="auto"/>
            <w:vAlign w:val="center"/>
          </w:tcPr>
          <w:p w:rsidR="00C34EF0" w:rsidRPr="00FC1013" w:rsidRDefault="00C34EF0" w:rsidP="009A43DE"/>
        </w:tc>
        <w:tc>
          <w:tcPr>
            <w:tcW w:w="2790" w:type="dxa"/>
            <w:tcBorders>
              <w:top w:val="nil"/>
              <w:left w:val="nil"/>
              <w:bottom w:val="nil"/>
              <w:right w:val="nil"/>
            </w:tcBorders>
            <w:shd w:val="clear" w:color="auto" w:fill="auto"/>
            <w:vAlign w:val="center"/>
          </w:tcPr>
          <w:p w:rsidR="00C34EF0" w:rsidRPr="00FC1013" w:rsidRDefault="00C34EF0" w:rsidP="009A43DE"/>
        </w:tc>
      </w:tr>
      <w:tr w:rsidR="00C34EF0" w:rsidTr="000A678B">
        <w:trPr>
          <w:trHeight w:hRule="exact" w:val="454"/>
        </w:trPr>
        <w:tc>
          <w:tcPr>
            <w:tcW w:w="2789" w:type="dxa"/>
            <w:tcBorders>
              <w:top w:val="nil"/>
              <w:left w:val="nil"/>
              <w:bottom w:val="nil"/>
              <w:right w:val="nil"/>
            </w:tcBorders>
            <w:shd w:val="clear" w:color="auto" w:fill="auto"/>
            <w:vAlign w:val="center"/>
          </w:tcPr>
          <w:p w:rsidR="00C34EF0" w:rsidRPr="00FC1013" w:rsidRDefault="00C34EF0" w:rsidP="009A43DE">
            <w:pPr>
              <w:spacing w:after="120" w:line="276" w:lineRule="auto"/>
              <w:jc w:val="center"/>
            </w:pPr>
          </w:p>
        </w:tc>
        <w:tc>
          <w:tcPr>
            <w:tcW w:w="2789" w:type="dxa"/>
            <w:tcBorders>
              <w:top w:val="nil"/>
              <w:left w:val="nil"/>
              <w:bottom w:val="nil"/>
              <w:right w:val="nil"/>
            </w:tcBorders>
            <w:shd w:val="clear" w:color="auto" w:fill="auto"/>
            <w:vAlign w:val="center"/>
          </w:tcPr>
          <w:p w:rsidR="00C34EF0" w:rsidRPr="00FC1013" w:rsidRDefault="00C34EF0" w:rsidP="009A43DE">
            <w:pPr>
              <w:spacing w:after="120" w:line="276" w:lineRule="auto"/>
              <w:jc w:val="center"/>
            </w:pPr>
          </w:p>
        </w:tc>
        <w:tc>
          <w:tcPr>
            <w:tcW w:w="2790" w:type="dxa"/>
            <w:tcBorders>
              <w:top w:val="nil"/>
              <w:left w:val="nil"/>
              <w:bottom w:val="nil"/>
              <w:right w:val="nil"/>
            </w:tcBorders>
            <w:shd w:val="clear" w:color="auto" w:fill="auto"/>
            <w:vAlign w:val="center"/>
          </w:tcPr>
          <w:p w:rsidR="00C34EF0" w:rsidRPr="00FC1013" w:rsidRDefault="00C34EF0" w:rsidP="009A43DE">
            <w:pPr>
              <w:spacing w:after="120" w:line="276" w:lineRule="auto"/>
              <w:jc w:val="center"/>
            </w:pPr>
          </w:p>
        </w:tc>
        <w:tc>
          <w:tcPr>
            <w:tcW w:w="2790" w:type="dxa"/>
            <w:tcBorders>
              <w:top w:val="nil"/>
              <w:left w:val="nil"/>
              <w:bottom w:val="nil"/>
              <w:right w:val="nil"/>
            </w:tcBorders>
            <w:shd w:val="clear" w:color="auto" w:fill="auto"/>
            <w:vAlign w:val="center"/>
          </w:tcPr>
          <w:p w:rsidR="00C34EF0" w:rsidRPr="00FC1013" w:rsidRDefault="00C34EF0" w:rsidP="009A43DE">
            <w:pPr>
              <w:spacing w:after="120" w:line="276" w:lineRule="auto"/>
              <w:jc w:val="center"/>
            </w:pPr>
          </w:p>
        </w:tc>
        <w:tc>
          <w:tcPr>
            <w:tcW w:w="2790" w:type="dxa"/>
            <w:tcBorders>
              <w:top w:val="nil"/>
              <w:left w:val="nil"/>
              <w:bottom w:val="nil"/>
              <w:right w:val="nil"/>
            </w:tcBorders>
            <w:shd w:val="clear" w:color="auto" w:fill="auto"/>
            <w:vAlign w:val="center"/>
          </w:tcPr>
          <w:p w:rsidR="00C34EF0" w:rsidRPr="00FC1013" w:rsidRDefault="00C34EF0" w:rsidP="009A43DE">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DC656D" w:rsidRDefault="00DC656D" w:rsidP="00DC656D">
      <w:pPr>
        <w:spacing w:after="180"/>
      </w:pPr>
      <w:r>
        <w:t>If a force is exerted on a spring (or a springy object), which is fixed at its other end, to stretch or compress it, the spring/object exerts a force of the same size in the opposite direction on whatever is doing the stretching or compressing.</w:t>
      </w:r>
    </w:p>
    <w:p w:rsidR="00DC656D" w:rsidRDefault="00DC656D" w:rsidP="00DC656D">
      <w:pPr>
        <w:spacing w:after="180"/>
      </w:pPr>
      <w:r>
        <w:t>In fact all materials are springy or stretchy, at the microscopic level.</w:t>
      </w:r>
      <w:r w:rsidR="00854C8B">
        <w:t xml:space="preserve"> </w:t>
      </w:r>
      <w:r>
        <w:t>An object sitting on, or pressing against, another one (e.g. the floor) compresses it a little, and an object hanging from another one (e.g. a string) stretches it a little.</w:t>
      </w:r>
      <w:r w:rsidR="00854C8B">
        <w:t xml:space="preserve"> </w:t>
      </w:r>
      <w:r>
        <w:t>So both objects experience a force.</w:t>
      </w:r>
    </w:p>
    <w:p w:rsidR="00DC656D" w:rsidRDefault="00DC656D" w:rsidP="00DC656D">
      <w:pPr>
        <w:spacing w:after="180"/>
      </w:pPr>
      <w:r>
        <w:t>The force exerted by a hard surface on an object sitting (or pressing) on it is called the normal reaction of the surface.</w:t>
      </w:r>
      <w:r w:rsidR="00854C8B">
        <w:t xml:space="preserve"> </w:t>
      </w:r>
      <w:r>
        <w:t>(‘Normal’ here means ‘at right angles to the surface.)</w:t>
      </w:r>
      <w:r w:rsidR="00854C8B">
        <w:t xml:space="preserve"> </w:t>
      </w:r>
      <w:r>
        <w:t>The force exerted by a string on an object that is stretching it is called the tension of the string.</w:t>
      </w:r>
    </w:p>
    <w:p w:rsidR="00FB1FF6" w:rsidRPr="0022442F" w:rsidRDefault="00FB1FF6" w:rsidP="00D40B0B">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24751A" w:rsidRDefault="0024751A" w:rsidP="00D40B0B">
      <w:pPr>
        <w:spacing w:after="180"/>
      </w:pPr>
      <w:r>
        <w:t xml:space="preserve">Research by Terry </w:t>
      </w:r>
      <w:r w:rsidRPr="0019159F">
        <w:rPr>
          <w:i/>
        </w:rPr>
        <w:t xml:space="preserve">et al </w:t>
      </w:r>
      <w:r>
        <w:fldChar w:fldCharType="begin"/>
      </w:r>
      <w: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fldChar w:fldCharType="separate"/>
      </w:r>
      <w:r>
        <w:rPr>
          <w:noProof/>
        </w:rPr>
        <w:t>(1985)</w:t>
      </w:r>
      <w:r>
        <w:fldChar w:fldCharType="end"/>
      </w:r>
      <w:r w:rsidR="00B629CA">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24751A" w:rsidRDefault="0024751A" w:rsidP="00D40B0B">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24751A" w:rsidRPr="00FD45C2" w:rsidRDefault="0024751A" w:rsidP="00D40B0B">
      <w:pPr>
        <w:spacing w:after="180"/>
      </w:pPr>
      <w:r w:rsidRPr="001504F9">
        <w:t xml:space="preserve">When </w:t>
      </w:r>
      <w:proofErr w:type="spellStart"/>
      <w:r w:rsidRPr="001504F9">
        <w:t>Minstrell</w:t>
      </w:r>
      <w:proofErr w:type="spellEnd"/>
      <w:r w:rsidRPr="001504F9">
        <w:t xml:space="preserve"> </w:t>
      </w:r>
      <w:r w:rsidRPr="001504F9">
        <w:fldChar w:fldCharType="begin"/>
      </w:r>
      <w:r w:rsidRPr="001504F9">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1504F9">
        <w:fldChar w:fldCharType="separate"/>
      </w:r>
      <w:r w:rsidRPr="001504F9">
        <w:rPr>
          <w:noProof/>
        </w:rPr>
        <w:t>(1982)</w:t>
      </w:r>
      <w:r w:rsidRPr="001504F9">
        <w:fldChar w:fldCharType="end"/>
      </w:r>
      <w:r w:rsidRPr="001504F9">
        <w:t xml:space="preserve"> asked two US high school physics classes (aged 14+) about forces on an object resting on a table</w:t>
      </w:r>
      <w:r w:rsidR="00361F9A" w:rsidRPr="001504F9">
        <w:t>,</w:t>
      </w:r>
      <w:r w:rsidRPr="001504F9">
        <w:t xml:space="preserve"> </w:t>
      </w:r>
      <w:r w:rsidR="00361F9A" w:rsidRPr="001504F9">
        <w:t xml:space="preserve">most </w:t>
      </w:r>
      <w:r w:rsidRPr="001504F9">
        <w:t>of the students understood that gravity was exerting a downwards force on the object, but only about half described the table exerting an upwards force. Students who did not identify an upwards for</w:t>
      </w:r>
      <w:r w:rsidR="00AB3CCA" w:rsidRPr="001504F9">
        <w:t>ce</w:t>
      </w:r>
      <w:r w:rsidRPr="001504F9">
        <w:t xml:space="preserve"> mostly described the table as ‘getting in the way’</w:t>
      </w:r>
      <w:r w:rsidR="002A0A75" w:rsidRPr="001504F9">
        <w:t xml:space="preserve"> </w:t>
      </w:r>
      <w:r w:rsidR="002A0A75" w:rsidRPr="001504F9">
        <w:fldChar w:fldCharType="begin"/>
      </w:r>
      <w:r w:rsidR="002A0A75" w:rsidRPr="001504F9">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2A0A75" w:rsidRPr="001504F9">
        <w:fldChar w:fldCharType="separate"/>
      </w:r>
      <w:r w:rsidR="002A0A75" w:rsidRPr="001504F9">
        <w:rPr>
          <w:noProof/>
        </w:rPr>
        <w:t>(Driver et al., 1994)</w:t>
      </w:r>
      <w:r w:rsidR="002A0A75" w:rsidRPr="001504F9">
        <w:fldChar w:fldCharType="end"/>
      </w:r>
      <w:r w:rsidRPr="001504F9">
        <w:t xml:space="preserve">. Typically those who recognised an upwards force from the table described the downwards force as bigger. In a further study, </w:t>
      </w:r>
      <w:r w:rsidRPr="001504F9">
        <w:rPr>
          <w:noProof/>
        </w:rPr>
        <w:t xml:space="preserve">Montanero et al. </w:t>
      </w:r>
      <w:r w:rsidRPr="001504F9">
        <w:rPr>
          <w:noProof/>
        </w:rPr>
        <w:fldChar w:fldCharType="begin"/>
      </w:r>
      <w:r w:rsidRPr="001504F9">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1504F9">
        <w:rPr>
          <w:noProof/>
        </w:rPr>
        <w:fldChar w:fldCharType="separate"/>
      </w:r>
      <w:r w:rsidRPr="001504F9">
        <w:rPr>
          <w:noProof/>
        </w:rPr>
        <w:t>(2002)</w:t>
      </w:r>
      <w:r w:rsidRPr="001504F9">
        <w:rPr>
          <w:noProof/>
        </w:rPr>
        <w:fldChar w:fldCharType="end"/>
      </w:r>
      <w:r w:rsidRPr="001504F9">
        <w:rPr>
          <w:noProof/>
        </w:rPr>
        <w:t xml:space="preserve"> </w:t>
      </w:r>
      <w:r w:rsidRPr="001504F9">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24751A" w:rsidRDefault="0024751A" w:rsidP="00D40B0B">
      <w:pPr>
        <w:spacing w:after="180"/>
      </w:pPr>
      <w:r>
        <w:t xml:space="preserve">To overcome the misunderstanding that an inert object at rest cannot exert force often requires a change in a student’s basic beliefs </w:t>
      </w:r>
      <w:r>
        <w:fldChar w:fldCharType="begin"/>
      </w:r>
      <w:r>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Scott and Viiri, 2004)&lt;/DisplayText&gt;&lt;record&gt;&lt;titles&gt;&lt;title&gt;Using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format="utc"&gt;1560410823&lt;/last-updated-date&gt;&lt;volume&gt;89:2&lt;/volume&gt;&lt;/record&gt;&lt;/Cite&gt;&lt;/EndNote&gt;</w:instrText>
      </w:r>
      <w:r>
        <w:fldChar w:fldCharType="separate"/>
      </w:r>
      <w:r>
        <w:rPr>
          <w:noProof/>
        </w:rPr>
        <w:t>(Savinainen, Scott and Viiri, 2004)</w:t>
      </w:r>
      <w:r>
        <w:fldChar w:fldCharType="end"/>
      </w:r>
      <w:r>
        <w:t xml:space="preserve">. There needs to be a concept change away from thinking about force as a property of the object, in which an object can exert force because it is moving or has weight, to thinking about force being due to the process of interactions between different objects </w:t>
      </w:r>
      <w:r>
        <w:fldChar w:fldCharType="begin"/>
      </w:r>
      <w:r>
        <w:instrText xml:space="preserve"> ADDIN EN.CITE &lt;EndNote&gt;&lt;Cite&gt;&lt;Author&gt;Chi&lt;/Author&gt;&lt;Year&gt;1994&lt;/Year&gt;&lt;IDText&gt;From things to processes: A theory of conceptual changefor learning science concepts&lt;/IDText&gt;&lt;DisplayText&gt;(Chi, Slotta and de Leeuw, 1994)&lt;/DisplayText&gt;&lt;record&gt;&lt;titles&gt;&lt;title&gt;From things to processes: A theory of conceptual changefor learning science concepts&lt;/title&gt;&lt;secondary-title&gt;Learning and Instruction&lt;/secondary-title&gt;&lt;/titles&gt;&lt;pages&gt;27-43&lt;/pages&gt;&lt;contributors&gt;&lt;authors&gt;&lt;author&gt;Chi, M. T. H&lt;/author&gt;&lt;author&gt;Slotta, J. D&lt;/author&gt;&lt;author&gt;de Leeuw, N&lt;/author&gt;&lt;/authors&gt;&lt;/contributors&gt;&lt;added-date format="utc"&gt;1560410968&lt;/added-date&gt;&lt;ref-type name="Journal Article"&gt;17&lt;/ref-type&gt;&lt;dates&gt;&lt;year&gt;1994&lt;/year&gt;&lt;/dates&gt;&lt;rec-number&gt;133&lt;/rec-number&gt;&lt;last-updated-date format="utc"&gt;1560411036&lt;/last-updated-date&gt;&lt;volume&gt;4&lt;/volume&gt;&lt;/record&gt;&lt;/Cite&gt;&lt;/EndNote&gt;</w:instrText>
      </w:r>
      <w:r>
        <w:fldChar w:fldCharType="separate"/>
      </w:r>
      <w:r>
        <w:rPr>
          <w:noProof/>
        </w:rPr>
        <w:t>(Chi, Slotta and de Leeuw, 1994)</w:t>
      </w:r>
      <w:r>
        <w:fldChar w:fldCharType="end"/>
      </w:r>
      <w:r>
        <w:t xml:space="preserve">. </w:t>
      </w:r>
    </w:p>
    <w:p w:rsidR="0024751A" w:rsidRDefault="0024751A" w:rsidP="00D40B0B">
      <w:pPr>
        <w:spacing w:after="180"/>
      </w:pPr>
      <w:r>
        <w:t>Thinking about force being due to an ‘interaction’ between two objects implies that each object exerts a force on the other. This leads to the idea that forces always act in pairs, and to Newton’s third law of motion. Students often accept this rule for special cases, but disregard it for others depending on the context. The next step in a learning sequence is to develop the notion that Newton’s third law is generally applicable to all situations.</w:t>
      </w:r>
    </w:p>
    <w:p w:rsidR="0024751A" w:rsidRDefault="0024751A" w:rsidP="00D40B0B">
      <w:pPr>
        <w:spacing w:after="180"/>
      </w:pPr>
      <w:r>
        <w:lastRenderedPageBreak/>
        <w:t xml:space="preserve">The use of bridging analogies to develop students’ understanding of Newton’s third law and the ‘at rest’ condition appear to make the underlying physics more intelligible and plausible to students and increase their confidence in applying this learning to new situations </w:t>
      </w:r>
      <w:r>
        <w:fldChar w:fldCharType="begin"/>
      </w:r>
      <w:r>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et al., 2004; Bryce and MacMillan, 2005)&lt;/DisplayText&gt;&lt;record&gt;&lt;titles&gt;&lt;title&gt;Using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format="utc"&gt;1560410823&lt;/last-updated-date&gt;&lt;volume&gt;89:2&lt;/volume&gt;&lt;/record&gt;&lt;/Cite&gt;&lt;Cite&gt;&lt;Author&gt;Bryce&lt;/Author&gt;&lt;Year&gt;2005&lt;/Year&gt;&lt;IDText&gt;Encouraging conceptual change: the use of bridging analogies in the teaching of action-reaction forces and the &amp;apos;at rest&amp;apos; condition in physics&lt;/IDText&gt;&lt;record&gt;&lt;titles&gt;&lt;title&gt;Encouraging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(Savinainen et al., 2004; Bryce and MacMillan, 2005)</w:t>
      </w:r>
      <w:r>
        <w:fldChar w:fldCharType="end"/>
      </w:r>
      <w:r>
        <w:t xml:space="preserve">. </w:t>
      </w:r>
    </w:p>
    <w:p w:rsidR="0024751A" w:rsidRPr="00BA113A" w:rsidRDefault="0024751A" w:rsidP="00D40B0B">
      <w:pPr>
        <w:spacing w:after="180"/>
      </w:pPr>
      <w:r>
        <w:t xml:space="preserve">Bridging analogies gradually take the learner through a series of easily understood ‘base analogies’, in order to lead them to an understanding of a challenging ‘target concept’, which is outside the realm of their usual experience or understanding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 xml:space="preserve">. A target question can be used to make explicit students’ alternative conceptions about the topic under consideration and an analogous case suggested by the teacher to scaffold and develop understanding. Targeted questioning and dialogue can lead students to make connections between the analogy and the target concept, and where necessary additional bridging steps (base analogies) added by the teacher, in order to reach or strengthen understanding of the target concept. </w:t>
      </w:r>
      <w:r>
        <w:fldChar w:fldCharType="begin"/>
      </w:r>
      <w:r>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et al., 2004)&lt;/DisplayText&gt;&lt;record&gt;&lt;titles&gt;&lt;title&gt;Using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format="utc"&gt;1560410823&lt;/last-updated-date&gt;&lt;volume&gt;89:2&lt;/volume&gt;&lt;/record&gt;&lt;/Cite&gt;&lt;/EndNote&gt;</w:instrText>
      </w:r>
      <w:r>
        <w:fldChar w:fldCharType="separate"/>
      </w:r>
      <w:r>
        <w:rPr>
          <w:noProof/>
        </w:rPr>
        <w:t>(Savinainen et al., 2004)</w:t>
      </w:r>
      <w:r>
        <w:fldChar w:fldCharType="end"/>
      </w:r>
    </w:p>
    <w:p w:rsidR="0024751A" w:rsidRDefault="0024751A" w:rsidP="00D40B0B">
      <w:pPr>
        <w:spacing w:after="180"/>
      </w:pPr>
      <w:r>
        <w:t xml:space="preserve">Series of bridging steps developed by different researchers for understanding the ‘at rest’ condition are strikingly similar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 Holding a weight on an outstretched hand and feeling the upwards force necessary to hold it still appears to help learners understand that an upwards force is necessary to keep a</w:t>
      </w:r>
      <w:r w:rsidRPr="001504F9">
        <w:t>n object at rest on a table. Squashing a spring or seeing a ruler flex more as extra weight is added seems to make it plausible to them that a table surface flexes in a similar way</w:t>
      </w:r>
      <w:r w:rsidR="00B05B96" w:rsidRPr="001504F9">
        <w:t>,</w:t>
      </w:r>
      <w:r w:rsidRPr="001504F9">
        <w:t xml:space="preserve"> in order for an upward force to be created. Placing weights on a stiff ruler</w:t>
      </w:r>
      <w:r w:rsidR="00B05B96" w:rsidRPr="001504F9">
        <w:t>,</w:t>
      </w:r>
      <w:r w:rsidRPr="001504F9">
        <w:t xml:space="preserve"> </w:t>
      </w:r>
      <w:r w:rsidR="00B05B96" w:rsidRPr="001504F9">
        <w:t xml:space="preserve">that is </w:t>
      </w:r>
      <w:r w:rsidRPr="001504F9">
        <w:t>supported at each end</w:t>
      </w:r>
      <w:r w:rsidR="00B05B96" w:rsidRPr="001504F9">
        <w:t>,</w:t>
      </w:r>
      <w:r w:rsidRPr="001504F9">
        <w:t xml:space="preserve"> to show deformations associated with the upwards force generated can be very small help to reinforce this understanding. </w:t>
      </w:r>
      <w:r w:rsidRPr="001504F9">
        <w:fldChar w:fldCharType="begin"/>
      </w:r>
      <w:r w:rsidRPr="001504F9">
        <w:instrText xml:space="preserve"> ADDIN EN.CITE &lt;EndNote&gt;&lt;Cite&gt;&lt;Author&gt;Minstrell&lt;/Author&gt;&lt;Year&gt;1982&lt;/Year&gt;&lt;IDText&gt;Explaining the &amp;quot;aqt rest&amp;quot; condition of an object&lt;/IDText&gt;&lt;DisplayText&gt;(Minstrell, 1982; Bryce and MacMillan, 2005)&lt;/DisplayText&gt;&lt;record&gt;&lt;titles&gt;&lt;title&gt;Explaining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format="utc"&gt;1560416375&lt;/last-updated-date&gt;&lt;volume&gt;20&lt;/volume&gt;&lt;/record&gt;&lt;/Cite&gt;&lt;Cite&gt;&lt;Author&gt;Bryce&lt;/Author&gt;&lt;Year&gt;2005&lt;/Year&gt;&lt;IDText&gt;Encouraging conceptual change: the use of bridging analogies in the teaching of action-reaction forces and the &amp;apos;at rest&amp;apos; condition in physics&lt;/IDText&gt;&lt;record&gt;&lt;titles&gt;&lt;title&gt;Encouraging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rsidRPr="001504F9">
        <w:fldChar w:fldCharType="separate"/>
      </w:r>
      <w:r w:rsidRPr="001504F9">
        <w:rPr>
          <w:noProof/>
        </w:rPr>
        <w:t>(Minstrell, 1982; Bryce and MacMillan, 2005)</w:t>
      </w:r>
      <w:r w:rsidRPr="001504F9">
        <w:fldChar w:fldCharType="end"/>
      </w:r>
    </w:p>
    <w:p w:rsidR="0024751A" w:rsidRDefault="0024751A" w:rsidP="00D40B0B">
      <w:pPr>
        <w:spacing w:after="180"/>
      </w:pPr>
      <w:r>
        <w:t xml:space="preserve">The common analogy of hanging weights from a spring to equate increased stretching with heavier weights with a corresponding increased upwards force was found by </w:t>
      </w:r>
      <w:r>
        <w:rPr>
          <w:noProof/>
        </w:rPr>
        <w:t>Bryce and MacMillan</w:t>
      </w:r>
      <w:r>
        <w:t xml:space="preserve"> </w:t>
      </w:r>
      <w:r>
        <w:fldChar w:fldCharType="begin"/>
      </w:r>
      <w:r>
        <w:instrText xml:space="preserve"> ADDIN EN.CITE &lt;EndNote&gt;&lt;Cite ExcludeAuth="1"&gt;&lt;Author&gt;Bryce&lt;/Author&gt;&lt;Year&gt;2005&lt;/Year&gt;&lt;IDText&gt;Encouraging conceptual change: the use of bridging analogies in the teaching of action-reaction forces and the &amp;apos;at rest&amp;apos; condition in physics&lt;/IDText&gt;&lt;DisplayText&gt;(2005)&lt;/DisplayText&gt;&lt;record&gt;&lt;titles&gt;&lt;title&gt;Encouraging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(2005)</w:t>
      </w:r>
      <w:r>
        <w:fldChar w:fldCharType="end"/>
      </w:r>
      <w:r>
        <w:t xml:space="preserve"> to be problematic. They found that many students had difficulty making connections between forces resulting from a spring being stretched and those from a surface being squashed. Bryce and MacMillan suggested this would be a useful example to discuss after students had formed a good scientific understanding, in order to consolidate their understanding in a new context.</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FB1FF6" w:rsidRDefault="00CF2678" w:rsidP="00FB1FF6">
      <w:pPr>
        <w:spacing w:after="180"/>
      </w:pPr>
      <w:r>
        <w:t>The first four steps in this learning progression are bridging analogies leading to the learning focus. The final step in the learning progression gives students the opportunity to apply their understanding in a new context.</w:t>
      </w:r>
      <w:r w:rsidR="00854C8B">
        <w:t xml:space="preserve"> </w:t>
      </w:r>
    </w:p>
    <w:p w:rsidR="002A6C49" w:rsidRDefault="002A6C49" w:rsidP="00FB1FF6">
      <w:pPr>
        <w:spacing w:after="180"/>
      </w:pPr>
      <w:r>
        <w:t>A good time for the stretching springs experiment might be immediately after this key concept.</w:t>
      </w:r>
    </w:p>
    <w:p w:rsidR="0037729C" w:rsidRDefault="0037729C">
      <w:pPr>
        <w:spacing w:after="200" w:line="276" w:lineRule="auto"/>
        <w:rPr>
          <w:b/>
          <w:color w:val="5F497A" w:themeColor="accent4" w:themeShade="BF"/>
          <w:sz w:val="24"/>
        </w:rPr>
      </w:pPr>
      <w:bookmarkStart w:id="0" w:name="_GoBack"/>
      <w:bookmarkEnd w:id="0"/>
      <w:r>
        <w:rPr>
          <w:b/>
          <w:color w:val="5F497A" w:themeColor="accent4" w:themeShade="BF"/>
          <w:sz w:val="24"/>
        </w:rPr>
        <w:br w:type="page"/>
      </w:r>
    </w:p>
    <w:p w:rsidR="00FB1FF6" w:rsidRPr="008A4BCA" w:rsidRDefault="00FB1FF6" w:rsidP="00FB1FF6">
      <w:pPr>
        <w:spacing w:after="180"/>
        <w:rPr>
          <w:b/>
          <w:color w:val="5F497A" w:themeColor="accent4" w:themeShade="BF"/>
          <w:sz w:val="24"/>
        </w:rPr>
      </w:pPr>
      <w:r>
        <w:rPr>
          <w:b/>
          <w:color w:val="5F497A" w:themeColor="accent4" w:themeShade="BF"/>
          <w:sz w:val="24"/>
        </w:rPr>
        <w:t>References</w:t>
      </w:r>
    </w:p>
    <w:p w:rsidR="002A0A75" w:rsidRPr="002A0A75" w:rsidRDefault="0024751A" w:rsidP="00FA730A">
      <w:pPr>
        <w:pStyle w:val="EndNoteBibliography"/>
        <w:spacing w:after="120"/>
        <w:ind w:left="426" w:hanging="426"/>
      </w:pPr>
      <w:r>
        <w:fldChar w:fldCharType="begin"/>
      </w:r>
      <w:r>
        <w:instrText xml:space="preserve"> ADDIN EN.REFLIST </w:instrText>
      </w:r>
      <w:r>
        <w:fldChar w:fldCharType="separate"/>
      </w:r>
      <w:r w:rsidR="002A0A75" w:rsidRPr="002A0A75">
        <w:t xml:space="preserve">Bryce, T. and MacMillan, K. (2005). Encouraging conceptual change: the use of bridging analogies in the teaching of action-reaction forces and the 'at rest' condition in physics. </w:t>
      </w:r>
      <w:r w:rsidR="002A0A75" w:rsidRPr="002A0A75">
        <w:rPr>
          <w:i/>
        </w:rPr>
        <w:t>International Journal of Science Education,</w:t>
      </w:r>
      <w:r w:rsidR="002A0A75" w:rsidRPr="002A0A75">
        <w:t xml:space="preserve"> 27(6)</w:t>
      </w:r>
      <w:r w:rsidR="002A0A75" w:rsidRPr="002A0A75">
        <w:rPr>
          <w:b/>
        </w:rPr>
        <w:t>,</w:t>
      </w:r>
      <w:r w:rsidR="002A0A75" w:rsidRPr="002A0A75">
        <w:t xml:space="preserve"> 737-763.</w:t>
      </w:r>
    </w:p>
    <w:p w:rsidR="002A0A75" w:rsidRPr="002A0A75" w:rsidRDefault="002A0A75" w:rsidP="00FA730A">
      <w:pPr>
        <w:pStyle w:val="EndNoteBibliography"/>
        <w:spacing w:after="120"/>
        <w:ind w:left="426" w:hanging="426"/>
      </w:pPr>
      <w:r w:rsidRPr="002A0A75">
        <w:lastRenderedPageBreak/>
        <w:t xml:space="preserve">Chi, M. T. H., Slotta, J. D. and de Leeuw, N. (1994). From things to processes: A theory of conceptual changefor learning science concepts. </w:t>
      </w:r>
      <w:r w:rsidRPr="002A0A75">
        <w:rPr>
          <w:i/>
        </w:rPr>
        <w:t>Learning and Instruction,</w:t>
      </w:r>
      <w:r w:rsidRPr="002A0A75">
        <w:t xml:space="preserve"> 4</w:t>
      </w:r>
      <w:r w:rsidRPr="002A0A75">
        <w:rPr>
          <w:b/>
        </w:rPr>
        <w:t>,</w:t>
      </w:r>
      <w:r w:rsidRPr="002A0A75">
        <w:t xml:space="preserve"> 27-43.</w:t>
      </w:r>
    </w:p>
    <w:p w:rsidR="002A0A75" w:rsidRPr="002A0A75" w:rsidRDefault="002A0A75" w:rsidP="00FA730A">
      <w:pPr>
        <w:pStyle w:val="EndNoteBibliography"/>
        <w:spacing w:after="120"/>
        <w:ind w:left="426" w:hanging="426"/>
      </w:pPr>
      <w:r w:rsidRPr="002A0A75">
        <w:t xml:space="preserve">Driver, R., et al. (1994). </w:t>
      </w:r>
      <w:r w:rsidRPr="002A0A75">
        <w:rPr>
          <w:i/>
        </w:rPr>
        <w:t xml:space="preserve">Making Sense of Secondary Science: Research into Children's Ideas, </w:t>
      </w:r>
      <w:r w:rsidRPr="002A0A75">
        <w:t>London, UK: Routledge.</w:t>
      </w:r>
    </w:p>
    <w:p w:rsidR="002A0A75" w:rsidRPr="002A0A75" w:rsidRDefault="002A0A75" w:rsidP="00FA730A">
      <w:pPr>
        <w:pStyle w:val="EndNoteBibliography"/>
        <w:spacing w:after="120"/>
        <w:ind w:left="426" w:hanging="426"/>
      </w:pPr>
      <w:r w:rsidRPr="002A0A75">
        <w:t xml:space="preserve">Minstrell, J. (1982). Explaining the "aqt rest" condition of an object. </w:t>
      </w:r>
      <w:r w:rsidRPr="002A0A75">
        <w:rPr>
          <w:i/>
        </w:rPr>
        <w:t>The Physics Teacher,</w:t>
      </w:r>
      <w:r w:rsidRPr="002A0A75">
        <w:t xml:space="preserve"> 20</w:t>
      </w:r>
      <w:r w:rsidRPr="002A0A75">
        <w:rPr>
          <w:b/>
        </w:rPr>
        <w:t>,</w:t>
      </w:r>
      <w:r w:rsidRPr="002A0A75">
        <w:t xml:space="preserve"> 10-14.</w:t>
      </w:r>
    </w:p>
    <w:p w:rsidR="002A0A75" w:rsidRPr="002A0A75" w:rsidRDefault="002A0A75" w:rsidP="00FA730A">
      <w:pPr>
        <w:pStyle w:val="EndNoteBibliography"/>
        <w:spacing w:after="120"/>
        <w:ind w:left="426" w:hanging="426"/>
      </w:pPr>
      <w:r w:rsidRPr="002A0A75">
        <w:t xml:space="preserve">Montanero, M., et al. (2002). Implicit theories of static interactions between two bodies. </w:t>
      </w:r>
      <w:r w:rsidRPr="002A0A75">
        <w:rPr>
          <w:i/>
        </w:rPr>
        <w:t>Physics Education,</w:t>
      </w:r>
      <w:r w:rsidRPr="002A0A75">
        <w:t xml:space="preserve"> 37 (4)</w:t>
      </w:r>
      <w:r w:rsidRPr="002A0A75">
        <w:rPr>
          <w:b/>
        </w:rPr>
        <w:t>,</w:t>
      </w:r>
      <w:r w:rsidRPr="002A0A75">
        <w:t xml:space="preserve"> 318-323.</w:t>
      </w:r>
    </w:p>
    <w:p w:rsidR="002A0A75" w:rsidRPr="002A0A75" w:rsidRDefault="002A0A75" w:rsidP="00FA730A">
      <w:pPr>
        <w:pStyle w:val="EndNoteBibliography"/>
        <w:spacing w:after="120"/>
        <w:ind w:left="426" w:hanging="426"/>
      </w:pPr>
      <w:r w:rsidRPr="002A0A75">
        <w:t xml:space="preserve">Savinainen, A., Scott, P. and Viiri, J. (2004). Using a bridging representation and social interactions to foster conceptual change: Designing and evaluating an insturctional sequence for Newton's third law. </w:t>
      </w:r>
      <w:r w:rsidRPr="002A0A75">
        <w:rPr>
          <w:i/>
        </w:rPr>
        <w:t>Science Education,</w:t>
      </w:r>
      <w:r w:rsidRPr="002A0A75">
        <w:t xml:space="preserve"> 89:2</w:t>
      </w:r>
      <w:r w:rsidRPr="002A0A75">
        <w:rPr>
          <w:b/>
        </w:rPr>
        <w:t>,</w:t>
      </w:r>
      <w:r w:rsidRPr="002A0A75">
        <w:t xml:space="preserve"> 175-195.</w:t>
      </w:r>
    </w:p>
    <w:p w:rsidR="002A0A75" w:rsidRPr="002A0A75" w:rsidRDefault="002A0A75" w:rsidP="00FA730A">
      <w:pPr>
        <w:pStyle w:val="EndNoteBibliography"/>
        <w:spacing w:after="120"/>
        <w:ind w:left="426" w:hanging="426"/>
      </w:pPr>
      <w:r w:rsidRPr="002A0A75">
        <w:t xml:space="preserve">Sjoberg, S. and Lie, S. (1981). Ideas about force and movement among Norwegian pupils and students. </w:t>
      </w:r>
      <w:r w:rsidRPr="002A0A75">
        <w:rPr>
          <w:i/>
        </w:rPr>
        <w:t>Institute of Physics Report Series: Report 81-11.</w:t>
      </w:r>
      <w:r w:rsidRPr="002A0A75">
        <w:t xml:space="preserve"> University of Oslo.</w:t>
      </w:r>
    </w:p>
    <w:p w:rsidR="002A0A75" w:rsidRPr="002A0A75" w:rsidRDefault="002A0A75" w:rsidP="00FA730A">
      <w:pPr>
        <w:pStyle w:val="EndNoteBibliography"/>
        <w:spacing w:after="120"/>
        <w:ind w:left="426" w:hanging="426"/>
      </w:pPr>
      <w:r w:rsidRPr="002A0A75">
        <w:t xml:space="preserve">Terry, C., Jones, G. and Hurford, W. (1985). Children's conceptual understanding for force and equilibrium. </w:t>
      </w:r>
      <w:r w:rsidRPr="002A0A75">
        <w:rPr>
          <w:i/>
        </w:rPr>
        <w:t>Physics Education,</w:t>
      </w:r>
      <w:r w:rsidRPr="002A0A75">
        <w:t xml:space="preserve"> 20(4)</w:t>
      </w:r>
      <w:r w:rsidRPr="002A0A75">
        <w:rPr>
          <w:b/>
        </w:rPr>
        <w:t>,</w:t>
      </w:r>
      <w:r w:rsidRPr="002A0A75">
        <w:t xml:space="preserve"> 162-165.</w:t>
      </w:r>
    </w:p>
    <w:p w:rsidR="00D43788" w:rsidRDefault="0024751A" w:rsidP="00FA730A">
      <w:pPr>
        <w:spacing w:after="120" w:line="276" w:lineRule="auto"/>
        <w:ind w:left="426" w:hanging="426"/>
      </w:pPr>
      <w:r>
        <w:fldChar w:fldCharType="end"/>
      </w:r>
    </w:p>
    <w:sectPr w:rsidR="00D43788" w:rsidSect="00F34FD0">
      <w:headerReference w:type="default" r:id="rId21"/>
      <w:footerReference w:type="default" r:id="rId22"/>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4B3" w:rsidRDefault="002F64B3" w:rsidP="000B473B">
      <w:r>
        <w:separator/>
      </w:r>
    </w:p>
  </w:endnote>
  <w:endnote w:type="continuationSeparator" w:id="0">
    <w:p w:rsidR="002F64B3" w:rsidRDefault="002F64B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7BCDBB"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7729C">
      <w:rPr>
        <w:noProof/>
      </w:rPr>
      <w:t>7</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4B3" w:rsidRDefault="002F64B3" w:rsidP="000B473B">
      <w:r>
        <w:separator/>
      </w:r>
    </w:p>
  </w:footnote>
  <w:footnote w:type="continuationSeparator" w:id="0">
    <w:p w:rsidR="002F64B3" w:rsidRDefault="002F64B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95C861"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F64B3"/>
    <w:rsid w:val="00000AFE"/>
    <w:rsid w:val="000026EA"/>
    <w:rsid w:val="00015578"/>
    <w:rsid w:val="00015BE9"/>
    <w:rsid w:val="00017B2B"/>
    <w:rsid w:val="00024731"/>
    <w:rsid w:val="00026DEC"/>
    <w:rsid w:val="0003079C"/>
    <w:rsid w:val="000323DD"/>
    <w:rsid w:val="0003297D"/>
    <w:rsid w:val="00036EBA"/>
    <w:rsid w:val="000505CA"/>
    <w:rsid w:val="0005709C"/>
    <w:rsid w:val="00065A88"/>
    <w:rsid w:val="00074F92"/>
    <w:rsid w:val="000947E2"/>
    <w:rsid w:val="00095E04"/>
    <w:rsid w:val="000A4D1F"/>
    <w:rsid w:val="000A678B"/>
    <w:rsid w:val="000B473B"/>
    <w:rsid w:val="000B7C10"/>
    <w:rsid w:val="000D0E89"/>
    <w:rsid w:val="000D2978"/>
    <w:rsid w:val="000E2689"/>
    <w:rsid w:val="000F5E42"/>
    <w:rsid w:val="00104331"/>
    <w:rsid w:val="00115BE3"/>
    <w:rsid w:val="00120F8D"/>
    <w:rsid w:val="00137415"/>
    <w:rsid w:val="001414D4"/>
    <w:rsid w:val="00142613"/>
    <w:rsid w:val="00144DA7"/>
    <w:rsid w:val="001504F9"/>
    <w:rsid w:val="00161D3F"/>
    <w:rsid w:val="001915D4"/>
    <w:rsid w:val="001A1FED"/>
    <w:rsid w:val="001A40E2"/>
    <w:rsid w:val="001B2603"/>
    <w:rsid w:val="001C4805"/>
    <w:rsid w:val="001F285E"/>
    <w:rsid w:val="001F2B4D"/>
    <w:rsid w:val="00204753"/>
    <w:rsid w:val="00216ED8"/>
    <w:rsid w:val="002178AC"/>
    <w:rsid w:val="00223388"/>
    <w:rsid w:val="0022442F"/>
    <w:rsid w:val="00224B69"/>
    <w:rsid w:val="0022547C"/>
    <w:rsid w:val="00233BFE"/>
    <w:rsid w:val="0024751A"/>
    <w:rsid w:val="0025410A"/>
    <w:rsid w:val="0028012F"/>
    <w:rsid w:val="00280B49"/>
    <w:rsid w:val="00287876"/>
    <w:rsid w:val="0029248B"/>
    <w:rsid w:val="00292C53"/>
    <w:rsid w:val="00294E22"/>
    <w:rsid w:val="002A0A75"/>
    <w:rsid w:val="002A0EF2"/>
    <w:rsid w:val="002A4B5B"/>
    <w:rsid w:val="002A6C49"/>
    <w:rsid w:val="002B5169"/>
    <w:rsid w:val="002C194B"/>
    <w:rsid w:val="002C36ED"/>
    <w:rsid w:val="002C59BA"/>
    <w:rsid w:val="002C697E"/>
    <w:rsid w:val="002F08DF"/>
    <w:rsid w:val="002F3535"/>
    <w:rsid w:val="002F64B3"/>
    <w:rsid w:val="00301AA9"/>
    <w:rsid w:val="00304B93"/>
    <w:rsid w:val="003117F6"/>
    <w:rsid w:val="00343464"/>
    <w:rsid w:val="003512FB"/>
    <w:rsid w:val="003533B8"/>
    <w:rsid w:val="00361F9A"/>
    <w:rsid w:val="003752BE"/>
    <w:rsid w:val="0037729C"/>
    <w:rsid w:val="00377662"/>
    <w:rsid w:val="003A346A"/>
    <w:rsid w:val="003A4130"/>
    <w:rsid w:val="003B13BC"/>
    <w:rsid w:val="003B2917"/>
    <w:rsid w:val="003B541B"/>
    <w:rsid w:val="003C7537"/>
    <w:rsid w:val="003E03F0"/>
    <w:rsid w:val="003E2B2F"/>
    <w:rsid w:val="003E4579"/>
    <w:rsid w:val="003E6046"/>
    <w:rsid w:val="003F16F9"/>
    <w:rsid w:val="0041100F"/>
    <w:rsid w:val="00415F7A"/>
    <w:rsid w:val="00422E11"/>
    <w:rsid w:val="00430C1F"/>
    <w:rsid w:val="00435ECA"/>
    <w:rsid w:val="00437318"/>
    <w:rsid w:val="00442595"/>
    <w:rsid w:val="0045323E"/>
    <w:rsid w:val="0047091F"/>
    <w:rsid w:val="00473E00"/>
    <w:rsid w:val="004778AE"/>
    <w:rsid w:val="004B0EE1"/>
    <w:rsid w:val="004D0D83"/>
    <w:rsid w:val="004E1DF1"/>
    <w:rsid w:val="004E2255"/>
    <w:rsid w:val="004E5592"/>
    <w:rsid w:val="004E70B5"/>
    <w:rsid w:val="004F3A89"/>
    <w:rsid w:val="0050055B"/>
    <w:rsid w:val="0050637D"/>
    <w:rsid w:val="00524710"/>
    <w:rsid w:val="005257ED"/>
    <w:rsid w:val="005519D4"/>
    <w:rsid w:val="00555342"/>
    <w:rsid w:val="005560E2"/>
    <w:rsid w:val="005605FD"/>
    <w:rsid w:val="00566B22"/>
    <w:rsid w:val="00575039"/>
    <w:rsid w:val="005767D5"/>
    <w:rsid w:val="00581A8A"/>
    <w:rsid w:val="00584495"/>
    <w:rsid w:val="005A452E"/>
    <w:rsid w:val="005B4275"/>
    <w:rsid w:val="005C41DA"/>
    <w:rsid w:val="005E383D"/>
    <w:rsid w:val="005F115D"/>
    <w:rsid w:val="005F454A"/>
    <w:rsid w:val="00620AFF"/>
    <w:rsid w:val="006355D8"/>
    <w:rsid w:val="00642ECD"/>
    <w:rsid w:val="0065024C"/>
    <w:rsid w:val="006502A0"/>
    <w:rsid w:val="006611E6"/>
    <w:rsid w:val="00661DA1"/>
    <w:rsid w:val="006772F5"/>
    <w:rsid w:val="006A01DE"/>
    <w:rsid w:val="006A37C9"/>
    <w:rsid w:val="006B0615"/>
    <w:rsid w:val="006C2DD9"/>
    <w:rsid w:val="006D166B"/>
    <w:rsid w:val="006D2D7D"/>
    <w:rsid w:val="006E616D"/>
    <w:rsid w:val="006E73AB"/>
    <w:rsid w:val="006F01D8"/>
    <w:rsid w:val="006F3279"/>
    <w:rsid w:val="00704AEE"/>
    <w:rsid w:val="007100E4"/>
    <w:rsid w:val="00722F9A"/>
    <w:rsid w:val="00754539"/>
    <w:rsid w:val="00757297"/>
    <w:rsid w:val="00760E08"/>
    <w:rsid w:val="00761D32"/>
    <w:rsid w:val="00793235"/>
    <w:rsid w:val="007939BC"/>
    <w:rsid w:val="00795CB4"/>
    <w:rsid w:val="007A3C86"/>
    <w:rsid w:val="007A683E"/>
    <w:rsid w:val="007A748B"/>
    <w:rsid w:val="007C3B28"/>
    <w:rsid w:val="007C7EE8"/>
    <w:rsid w:val="007D1D65"/>
    <w:rsid w:val="007E0A9E"/>
    <w:rsid w:val="007E5309"/>
    <w:rsid w:val="00800DE1"/>
    <w:rsid w:val="00802843"/>
    <w:rsid w:val="00813F47"/>
    <w:rsid w:val="00821188"/>
    <w:rsid w:val="008450D6"/>
    <w:rsid w:val="008544D9"/>
    <w:rsid w:val="00854C8B"/>
    <w:rsid w:val="00855ABA"/>
    <w:rsid w:val="00856FCA"/>
    <w:rsid w:val="00872EB4"/>
    <w:rsid w:val="00873B8C"/>
    <w:rsid w:val="008A405F"/>
    <w:rsid w:val="008A4BCA"/>
    <w:rsid w:val="008B588E"/>
    <w:rsid w:val="008C7F34"/>
    <w:rsid w:val="008E032D"/>
    <w:rsid w:val="008E13E0"/>
    <w:rsid w:val="008E580C"/>
    <w:rsid w:val="0090047A"/>
    <w:rsid w:val="00913AD8"/>
    <w:rsid w:val="00917940"/>
    <w:rsid w:val="00925026"/>
    <w:rsid w:val="00925065"/>
    <w:rsid w:val="00931264"/>
    <w:rsid w:val="00942A4B"/>
    <w:rsid w:val="00957C3E"/>
    <w:rsid w:val="00961D59"/>
    <w:rsid w:val="0099744A"/>
    <w:rsid w:val="009B2D55"/>
    <w:rsid w:val="009C0343"/>
    <w:rsid w:val="009D762B"/>
    <w:rsid w:val="009E0648"/>
    <w:rsid w:val="009E0D11"/>
    <w:rsid w:val="00A24A16"/>
    <w:rsid w:val="00A37D14"/>
    <w:rsid w:val="00A54D15"/>
    <w:rsid w:val="00A6168B"/>
    <w:rsid w:val="00A62028"/>
    <w:rsid w:val="00A70D25"/>
    <w:rsid w:val="00A75417"/>
    <w:rsid w:val="00AA6236"/>
    <w:rsid w:val="00AA66F3"/>
    <w:rsid w:val="00AB3CCA"/>
    <w:rsid w:val="00AB6AE7"/>
    <w:rsid w:val="00AD21F5"/>
    <w:rsid w:val="00AD489A"/>
    <w:rsid w:val="00AD5043"/>
    <w:rsid w:val="00AE3956"/>
    <w:rsid w:val="00AE5FB7"/>
    <w:rsid w:val="00AF0E74"/>
    <w:rsid w:val="00AF7DB9"/>
    <w:rsid w:val="00B049AC"/>
    <w:rsid w:val="00B05B96"/>
    <w:rsid w:val="00B06225"/>
    <w:rsid w:val="00B23C7A"/>
    <w:rsid w:val="00B346B5"/>
    <w:rsid w:val="00B37C53"/>
    <w:rsid w:val="00B42E62"/>
    <w:rsid w:val="00B46FF9"/>
    <w:rsid w:val="00B629CA"/>
    <w:rsid w:val="00B64649"/>
    <w:rsid w:val="00B6703E"/>
    <w:rsid w:val="00B71A36"/>
    <w:rsid w:val="00B75483"/>
    <w:rsid w:val="00B81360"/>
    <w:rsid w:val="00BA5A78"/>
    <w:rsid w:val="00BA7952"/>
    <w:rsid w:val="00BB3EA6"/>
    <w:rsid w:val="00BD3160"/>
    <w:rsid w:val="00BE27BE"/>
    <w:rsid w:val="00BF0BBF"/>
    <w:rsid w:val="00BF6C8A"/>
    <w:rsid w:val="00C004D3"/>
    <w:rsid w:val="00C05571"/>
    <w:rsid w:val="00C06521"/>
    <w:rsid w:val="00C15989"/>
    <w:rsid w:val="00C246CE"/>
    <w:rsid w:val="00C34EF0"/>
    <w:rsid w:val="00C46861"/>
    <w:rsid w:val="00C53F0B"/>
    <w:rsid w:val="00C5553B"/>
    <w:rsid w:val="00C57FA2"/>
    <w:rsid w:val="00C63844"/>
    <w:rsid w:val="00C72918"/>
    <w:rsid w:val="00C8765D"/>
    <w:rsid w:val="00C9265A"/>
    <w:rsid w:val="00CB2CAF"/>
    <w:rsid w:val="00CC2E4D"/>
    <w:rsid w:val="00CC78A5"/>
    <w:rsid w:val="00CC7B16"/>
    <w:rsid w:val="00CD2673"/>
    <w:rsid w:val="00CE15FE"/>
    <w:rsid w:val="00CE7273"/>
    <w:rsid w:val="00CF2678"/>
    <w:rsid w:val="00D02E15"/>
    <w:rsid w:val="00D14F44"/>
    <w:rsid w:val="00D278E8"/>
    <w:rsid w:val="00D40B0B"/>
    <w:rsid w:val="00D40D1E"/>
    <w:rsid w:val="00D421C8"/>
    <w:rsid w:val="00D43788"/>
    <w:rsid w:val="00D44604"/>
    <w:rsid w:val="00D479B3"/>
    <w:rsid w:val="00D51657"/>
    <w:rsid w:val="00D52283"/>
    <w:rsid w:val="00D524E5"/>
    <w:rsid w:val="00D72FEF"/>
    <w:rsid w:val="00D755FA"/>
    <w:rsid w:val="00DB7449"/>
    <w:rsid w:val="00DB7471"/>
    <w:rsid w:val="00DC4A4E"/>
    <w:rsid w:val="00DC656D"/>
    <w:rsid w:val="00DD1874"/>
    <w:rsid w:val="00DD63BD"/>
    <w:rsid w:val="00DF0EA2"/>
    <w:rsid w:val="00E002ED"/>
    <w:rsid w:val="00E0357A"/>
    <w:rsid w:val="00E172C6"/>
    <w:rsid w:val="00E22B55"/>
    <w:rsid w:val="00E24309"/>
    <w:rsid w:val="00E31116"/>
    <w:rsid w:val="00E53A52"/>
    <w:rsid w:val="00E53D82"/>
    <w:rsid w:val="00E54437"/>
    <w:rsid w:val="00E72AB3"/>
    <w:rsid w:val="00E753A9"/>
    <w:rsid w:val="00E75DFB"/>
    <w:rsid w:val="00E85A74"/>
    <w:rsid w:val="00EE6B97"/>
    <w:rsid w:val="00F12C3B"/>
    <w:rsid w:val="00F12DED"/>
    <w:rsid w:val="00F26884"/>
    <w:rsid w:val="00F34FD0"/>
    <w:rsid w:val="00F40370"/>
    <w:rsid w:val="00F604E7"/>
    <w:rsid w:val="00F64424"/>
    <w:rsid w:val="00F66FF6"/>
    <w:rsid w:val="00F74824"/>
    <w:rsid w:val="00F75F0D"/>
    <w:rsid w:val="00F82443"/>
    <w:rsid w:val="00F8355F"/>
    <w:rsid w:val="00F90D64"/>
    <w:rsid w:val="00F95F3E"/>
    <w:rsid w:val="00FA14FE"/>
    <w:rsid w:val="00FA3196"/>
    <w:rsid w:val="00FA730A"/>
    <w:rsid w:val="00FB1FF6"/>
    <w:rsid w:val="00FC3779"/>
    <w:rsid w:val="00FE427C"/>
    <w:rsid w:val="00FE67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636BBC"/>
  <w15:docId w15:val="{B1B027ED-5D61-4C64-A60F-9E5AB444A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24751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4751A"/>
    <w:rPr>
      <w:rFonts w:ascii="Calibri" w:hAnsi="Calibri" w:cs="Calibri"/>
      <w:noProof/>
      <w:lang w:val="en-US"/>
    </w:rPr>
  </w:style>
  <w:style w:type="paragraph" w:customStyle="1" w:styleId="EndNoteBibliography">
    <w:name w:val="EndNote Bibliography"/>
    <w:basedOn w:val="Normal"/>
    <w:link w:val="EndNoteBibliographyChar"/>
    <w:rsid w:val="0024751A"/>
    <w:rPr>
      <w:rFonts w:ascii="Calibri" w:hAnsi="Calibri" w:cs="Calibri"/>
      <w:noProof/>
      <w:lang w:val="en-US"/>
    </w:rPr>
  </w:style>
  <w:style w:type="character" w:customStyle="1" w:styleId="EndNoteBibliographyChar">
    <w:name w:val="EndNote Bibliography Char"/>
    <w:basedOn w:val="DefaultParagraphFont"/>
    <w:link w:val="EndNoteBibliography"/>
    <w:rsid w:val="0024751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Higher%20order%20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.template_physics_key concept_teacher notes.dotx</Template>
  <TotalTime>594</TotalTime>
  <Pages>7</Pages>
  <Words>3479</Words>
  <Characters>19833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77</cp:revision>
  <cp:lastPrinted>2018-01-23T10:03:00Z</cp:lastPrinted>
  <dcterms:created xsi:type="dcterms:W3CDTF">2019-06-13T14:38:00Z</dcterms:created>
  <dcterms:modified xsi:type="dcterms:W3CDTF">2019-07-01T11:52:00Z</dcterms:modified>
</cp:coreProperties>
</file>